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566EF" w14:textId="77777777" w:rsidR="001C6872" w:rsidRPr="001C6872" w:rsidRDefault="001C6872" w:rsidP="001C6872">
      <w:pPr>
        <w:spacing w:after="150"/>
        <w:outlineLvl w:val="0"/>
        <w:rPr>
          <w:rFonts w:ascii="Arial" w:eastAsia="Times New Roman" w:hAnsi="Arial" w:cs="Arial"/>
          <w:b/>
          <w:bCs/>
          <w:color w:val="002158"/>
          <w:kern w:val="36"/>
          <w:sz w:val="31"/>
          <w:szCs w:val="31"/>
          <w:lang w:eastAsia="en-GB"/>
        </w:rPr>
      </w:pPr>
      <w:r w:rsidRPr="001C6872">
        <w:rPr>
          <w:rFonts w:ascii="Arial" w:eastAsia="Times New Roman" w:hAnsi="Arial" w:cs="Arial"/>
          <w:b/>
          <w:bCs/>
          <w:color w:val="002158"/>
          <w:kern w:val="36"/>
          <w:sz w:val="31"/>
          <w:szCs w:val="31"/>
          <w:lang w:eastAsia="en-GB"/>
        </w:rPr>
        <w:t>Question 1</w:t>
      </w:r>
    </w:p>
    <w:p w14:paraId="779AC2A0" w14:textId="77777777" w:rsidR="001C6872" w:rsidRPr="001C6872" w:rsidRDefault="001C6872" w:rsidP="001C6872">
      <w:pPr>
        <w:numPr>
          <w:ilvl w:val="0"/>
          <w:numId w:val="6"/>
        </w:numPr>
        <w:spacing w:before="120" w:after="120"/>
        <w:ind w:left="504" w:hanging="810"/>
        <w:rPr>
          <w:rFonts w:ascii="Arial" w:eastAsia="Times New Roman" w:hAnsi="Arial" w:cs="Arial"/>
          <w:color w:val="000000"/>
          <w:sz w:val="21"/>
          <w:szCs w:val="21"/>
          <w:lang w:eastAsia="en-GB"/>
        </w:rPr>
      </w:pPr>
      <w:proofErr w:type="spellStart"/>
      <w:proofErr w:type="gramStart"/>
      <w:r w:rsidRPr="001C6872">
        <w:rPr>
          <w:rFonts w:ascii="Arial" w:eastAsia="Times New Roman" w:hAnsi="Arial" w:cs="Arial"/>
          <w:color w:val="000000"/>
          <w:sz w:val="21"/>
          <w:szCs w:val="21"/>
          <w:lang w:eastAsia="en-GB"/>
        </w:rPr>
        <w:t>a.Analyse</w:t>
      </w:r>
      <w:proofErr w:type="spellEnd"/>
      <w:proofErr w:type="gramEnd"/>
      <w:r w:rsidRPr="001C6872">
        <w:rPr>
          <w:rFonts w:ascii="Arial" w:eastAsia="Times New Roman" w:hAnsi="Arial" w:cs="Arial"/>
          <w:color w:val="000000"/>
          <w:sz w:val="21"/>
          <w:szCs w:val="21"/>
          <w:lang w:eastAsia="en-GB"/>
        </w:rPr>
        <w:t xml:space="preserve"> the current forms of finance available to the Fusion Group.</w:t>
      </w:r>
    </w:p>
    <w:p w14:paraId="0729723C"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(15 marks)</w:t>
      </w:r>
    </w:p>
    <w:p w14:paraId="5C100FE2" w14:textId="77777777" w:rsidR="001C6872" w:rsidRPr="001C6872" w:rsidRDefault="001C6872" w:rsidP="001C6872">
      <w:pPr>
        <w:numPr>
          <w:ilvl w:val="0"/>
          <w:numId w:val="6"/>
        </w:numPr>
        <w:spacing w:before="120" w:after="120"/>
        <w:ind w:left="504" w:hanging="810"/>
        <w:rPr>
          <w:rFonts w:ascii="Arial" w:eastAsia="Times New Roman" w:hAnsi="Arial" w:cs="Arial"/>
          <w:color w:val="000000"/>
          <w:sz w:val="21"/>
          <w:szCs w:val="21"/>
          <w:lang w:eastAsia="en-GB"/>
        </w:rPr>
      </w:pPr>
      <w:proofErr w:type="spellStart"/>
      <w:proofErr w:type="gramStart"/>
      <w:r w:rsidRPr="001C6872">
        <w:rPr>
          <w:rFonts w:ascii="Arial" w:eastAsia="Times New Roman" w:hAnsi="Arial" w:cs="Arial"/>
          <w:color w:val="000000"/>
          <w:sz w:val="21"/>
          <w:szCs w:val="21"/>
          <w:lang w:eastAsia="en-GB"/>
        </w:rPr>
        <w:t>b.Recommend</w:t>
      </w:r>
      <w:proofErr w:type="spellEnd"/>
      <w:proofErr w:type="gramEnd"/>
      <w:r w:rsidRPr="001C6872">
        <w:rPr>
          <w:rFonts w:ascii="Arial" w:eastAsia="Times New Roman" w:hAnsi="Arial" w:cs="Arial"/>
          <w:color w:val="000000"/>
          <w:sz w:val="21"/>
          <w:szCs w:val="21"/>
          <w:lang w:eastAsia="en-GB"/>
        </w:rPr>
        <w:t xml:space="preserve"> improvements in how the Group finances its business operation.</w:t>
      </w:r>
    </w:p>
    <w:p w14:paraId="6F3E31C2"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(12 marks)</w:t>
      </w:r>
    </w:p>
    <w:p w14:paraId="4007C574" w14:textId="77777777" w:rsidR="001C6872" w:rsidRPr="001C6872" w:rsidRDefault="001C6872" w:rsidP="001C6872">
      <w:pPr>
        <w:numPr>
          <w:ilvl w:val="0"/>
          <w:numId w:val="6"/>
        </w:numPr>
        <w:spacing w:before="120" w:after="120"/>
        <w:ind w:left="504" w:hanging="810"/>
        <w:rPr>
          <w:rFonts w:ascii="Arial" w:eastAsia="Times New Roman" w:hAnsi="Arial" w:cs="Arial"/>
          <w:color w:val="000000"/>
          <w:sz w:val="21"/>
          <w:szCs w:val="21"/>
          <w:lang w:eastAsia="en-GB"/>
        </w:rPr>
      </w:pPr>
      <w:proofErr w:type="spellStart"/>
      <w:r w:rsidRPr="001C6872">
        <w:rPr>
          <w:rFonts w:ascii="Arial" w:eastAsia="Times New Roman" w:hAnsi="Arial" w:cs="Arial"/>
          <w:color w:val="000000"/>
          <w:sz w:val="21"/>
          <w:szCs w:val="21"/>
          <w:lang w:eastAsia="en-GB"/>
        </w:rPr>
        <w:t>c.Evaluate</w:t>
      </w:r>
      <w:proofErr w:type="spellEnd"/>
      <w:r w:rsidRPr="001C6872">
        <w:rPr>
          <w:rFonts w:ascii="Arial" w:eastAsia="Times New Roman" w:hAnsi="Arial" w:cs="Arial"/>
          <w:color w:val="000000"/>
          <w:sz w:val="21"/>
          <w:szCs w:val="21"/>
          <w:lang w:eastAsia="en-GB"/>
        </w:rPr>
        <w:t xml:space="preserve"> the three debt finance proposals outlined in Appendix five and recommend which should be chosen.</w:t>
      </w:r>
    </w:p>
    <w:p w14:paraId="052ED53A"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(23 marks)</w:t>
      </w:r>
    </w:p>
    <w:p w14:paraId="70B6BCA0"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b/>
          <w:bCs/>
          <w:color w:val="000000"/>
          <w:sz w:val="21"/>
          <w:szCs w:val="21"/>
          <w:lang w:eastAsia="en-GB"/>
        </w:rPr>
        <w:t>Total: 50 marks</w:t>
      </w:r>
    </w:p>
    <w:p w14:paraId="2D6F4CEC"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color w:val="000000"/>
          <w:sz w:val="21"/>
          <w:szCs w:val="21"/>
          <w:lang w:eastAsia="en-GB"/>
        </w:rPr>
        <w:t>Suggested word count is up to 1,800 words.</w:t>
      </w:r>
    </w:p>
    <w:p w14:paraId="21E6CAE2" w14:textId="77777777" w:rsidR="001C6872" w:rsidRPr="001C6872" w:rsidRDefault="001C6872" w:rsidP="001C6872">
      <w:pPr>
        <w:rPr>
          <w:rFonts w:ascii="Times New Roman" w:eastAsia="Times New Roman" w:hAnsi="Times New Roman" w:cs="Times New Roman"/>
          <w:lang w:eastAsia="en-GB"/>
        </w:rPr>
      </w:pPr>
    </w:p>
    <w:p w14:paraId="1E26AF1B" w14:textId="77777777" w:rsidR="001C6872" w:rsidRPr="001C6872" w:rsidRDefault="001C6872" w:rsidP="001C6872">
      <w:pPr>
        <w:spacing w:after="150"/>
        <w:outlineLvl w:val="0"/>
        <w:rPr>
          <w:rFonts w:ascii="Arial" w:eastAsia="Times New Roman" w:hAnsi="Arial" w:cs="Arial"/>
          <w:b/>
          <w:bCs/>
          <w:color w:val="002158"/>
          <w:kern w:val="36"/>
          <w:sz w:val="31"/>
          <w:szCs w:val="31"/>
          <w:lang w:eastAsia="en-GB"/>
        </w:rPr>
      </w:pPr>
      <w:r w:rsidRPr="001C6872">
        <w:rPr>
          <w:rFonts w:ascii="Arial" w:eastAsia="Times New Roman" w:hAnsi="Arial" w:cs="Arial"/>
          <w:b/>
          <w:bCs/>
          <w:color w:val="002158"/>
          <w:kern w:val="36"/>
          <w:sz w:val="31"/>
          <w:szCs w:val="31"/>
          <w:lang w:eastAsia="en-GB"/>
        </w:rPr>
        <w:t>Question 2</w:t>
      </w:r>
    </w:p>
    <w:p w14:paraId="4D186E88" w14:textId="77777777" w:rsidR="001C6872" w:rsidRPr="001C6872" w:rsidRDefault="001C6872" w:rsidP="001C6872">
      <w:pPr>
        <w:numPr>
          <w:ilvl w:val="0"/>
          <w:numId w:val="7"/>
        </w:numPr>
        <w:spacing w:before="120" w:after="120"/>
        <w:ind w:left="504" w:hanging="810"/>
        <w:rPr>
          <w:rFonts w:ascii="Arial" w:eastAsia="Times New Roman" w:hAnsi="Arial" w:cs="Arial"/>
          <w:color w:val="000000"/>
          <w:sz w:val="21"/>
          <w:szCs w:val="21"/>
          <w:lang w:eastAsia="en-GB"/>
        </w:rPr>
      </w:pPr>
      <w:proofErr w:type="spellStart"/>
      <w:proofErr w:type="gramStart"/>
      <w:r w:rsidRPr="001C6872">
        <w:rPr>
          <w:rFonts w:ascii="Arial" w:eastAsia="Times New Roman" w:hAnsi="Arial" w:cs="Arial"/>
          <w:color w:val="000000"/>
          <w:sz w:val="21"/>
          <w:szCs w:val="21"/>
          <w:lang w:eastAsia="en-GB"/>
        </w:rPr>
        <w:t>a.Evaluate</w:t>
      </w:r>
      <w:proofErr w:type="spellEnd"/>
      <w:proofErr w:type="gramEnd"/>
      <w:r w:rsidRPr="001C6872">
        <w:rPr>
          <w:rFonts w:ascii="Arial" w:eastAsia="Times New Roman" w:hAnsi="Arial" w:cs="Arial"/>
          <w:color w:val="000000"/>
          <w:sz w:val="21"/>
          <w:szCs w:val="21"/>
          <w:lang w:eastAsia="en-GB"/>
        </w:rPr>
        <w:t xml:space="preserve"> the proposal to move the manufacturing facility from China to Mexico (Appendix 6), using NPV analysis.</w:t>
      </w:r>
    </w:p>
    <w:p w14:paraId="3D553B70"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(25 marks)</w:t>
      </w:r>
    </w:p>
    <w:p w14:paraId="09D5FDF9" w14:textId="77777777" w:rsidR="001C6872" w:rsidRPr="001C6872" w:rsidRDefault="001C6872" w:rsidP="001C6872">
      <w:pPr>
        <w:numPr>
          <w:ilvl w:val="0"/>
          <w:numId w:val="7"/>
        </w:numPr>
        <w:spacing w:before="120" w:after="120"/>
        <w:ind w:left="504" w:hanging="810"/>
        <w:rPr>
          <w:rFonts w:ascii="Arial" w:eastAsia="Times New Roman" w:hAnsi="Arial" w:cs="Arial"/>
          <w:color w:val="000000"/>
          <w:sz w:val="21"/>
          <w:szCs w:val="21"/>
          <w:lang w:eastAsia="en-GB"/>
        </w:rPr>
      </w:pPr>
      <w:proofErr w:type="spellStart"/>
      <w:proofErr w:type="gramStart"/>
      <w:r w:rsidRPr="001C6872">
        <w:rPr>
          <w:rFonts w:ascii="Arial" w:eastAsia="Times New Roman" w:hAnsi="Arial" w:cs="Arial"/>
          <w:color w:val="000000"/>
          <w:sz w:val="21"/>
          <w:szCs w:val="21"/>
          <w:lang w:eastAsia="en-GB"/>
        </w:rPr>
        <w:t>b.Discuss</w:t>
      </w:r>
      <w:proofErr w:type="spellEnd"/>
      <w:proofErr w:type="gramEnd"/>
      <w:r w:rsidRPr="001C6872">
        <w:rPr>
          <w:rFonts w:ascii="Arial" w:eastAsia="Times New Roman" w:hAnsi="Arial" w:cs="Arial"/>
          <w:color w:val="000000"/>
          <w:sz w:val="21"/>
          <w:szCs w:val="21"/>
          <w:lang w:eastAsia="en-GB"/>
        </w:rPr>
        <w:t xml:space="preserve"> the foreign exchange risk associated with the project.</w:t>
      </w:r>
    </w:p>
    <w:p w14:paraId="717CFB77"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(12 marks)</w:t>
      </w:r>
    </w:p>
    <w:p w14:paraId="62C80568" w14:textId="77777777" w:rsidR="001C6872" w:rsidRPr="001C6872" w:rsidRDefault="001C6872" w:rsidP="001C6872">
      <w:pPr>
        <w:numPr>
          <w:ilvl w:val="0"/>
          <w:numId w:val="7"/>
        </w:numPr>
        <w:spacing w:before="120" w:after="120"/>
        <w:ind w:left="504" w:hanging="810"/>
        <w:rPr>
          <w:rFonts w:ascii="Arial" w:eastAsia="Times New Roman" w:hAnsi="Arial" w:cs="Arial"/>
          <w:color w:val="000000"/>
          <w:sz w:val="21"/>
          <w:szCs w:val="21"/>
          <w:lang w:eastAsia="en-GB"/>
        </w:rPr>
      </w:pPr>
      <w:proofErr w:type="spellStart"/>
      <w:r w:rsidRPr="001C6872">
        <w:rPr>
          <w:rFonts w:ascii="Arial" w:eastAsia="Times New Roman" w:hAnsi="Arial" w:cs="Arial"/>
          <w:color w:val="000000"/>
          <w:sz w:val="21"/>
          <w:szCs w:val="21"/>
          <w:lang w:eastAsia="en-GB"/>
        </w:rPr>
        <w:t>c.Evaluate</w:t>
      </w:r>
      <w:proofErr w:type="spellEnd"/>
      <w:r w:rsidRPr="001C6872">
        <w:rPr>
          <w:rFonts w:ascii="Arial" w:eastAsia="Times New Roman" w:hAnsi="Arial" w:cs="Arial"/>
          <w:color w:val="000000"/>
          <w:sz w:val="21"/>
          <w:szCs w:val="21"/>
          <w:lang w:eastAsia="en-GB"/>
        </w:rPr>
        <w:t xml:space="preserve"> the decision to use the overall Group cost of capital for the NPV analysis.</w:t>
      </w:r>
    </w:p>
    <w:p w14:paraId="2E844651" w14:textId="77777777" w:rsidR="001C6872" w:rsidRPr="001C6872" w:rsidRDefault="001C6872" w:rsidP="001C6872">
      <w:pPr>
        <w:spacing w:before="75" w:after="225"/>
        <w:ind w:left="504"/>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(10 marks)</w:t>
      </w:r>
    </w:p>
    <w:p w14:paraId="238A5B9B"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color w:val="000000"/>
          <w:sz w:val="21"/>
          <w:szCs w:val="21"/>
          <w:lang w:eastAsia="en-GB"/>
        </w:rPr>
        <w:t>Marks will also be awarded for report format and correct use of referencing.</w:t>
      </w:r>
    </w:p>
    <w:p w14:paraId="0DE91C68"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i/>
          <w:iCs/>
          <w:color w:val="000000"/>
          <w:sz w:val="21"/>
          <w:szCs w:val="21"/>
          <w:lang w:eastAsia="en-GB"/>
        </w:rPr>
        <w:t>(3 marks)</w:t>
      </w:r>
    </w:p>
    <w:p w14:paraId="42F3861E"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b/>
          <w:bCs/>
          <w:color w:val="000000"/>
          <w:sz w:val="21"/>
          <w:szCs w:val="21"/>
          <w:lang w:eastAsia="en-GB"/>
        </w:rPr>
        <w:t>Total: 50 marks</w:t>
      </w:r>
    </w:p>
    <w:p w14:paraId="136CF98E" w14:textId="77777777" w:rsidR="001C6872" w:rsidRPr="001C6872" w:rsidRDefault="001C6872" w:rsidP="001C6872">
      <w:pPr>
        <w:spacing w:before="75" w:after="225"/>
        <w:rPr>
          <w:rFonts w:ascii="Arial" w:eastAsia="Times New Roman" w:hAnsi="Arial" w:cs="Arial"/>
          <w:color w:val="000000"/>
          <w:sz w:val="21"/>
          <w:szCs w:val="21"/>
          <w:lang w:eastAsia="en-GB"/>
        </w:rPr>
      </w:pPr>
      <w:r w:rsidRPr="001C6872">
        <w:rPr>
          <w:rFonts w:ascii="Arial" w:eastAsia="Times New Roman" w:hAnsi="Arial" w:cs="Arial"/>
          <w:color w:val="000000"/>
          <w:sz w:val="21"/>
          <w:szCs w:val="21"/>
          <w:lang w:eastAsia="en-GB"/>
        </w:rPr>
        <w:t>Suggested word count is up to 800 words.</w:t>
      </w:r>
    </w:p>
    <w:p w14:paraId="56AE6918" w14:textId="77777777" w:rsidR="001C6872" w:rsidRPr="001C6872" w:rsidRDefault="001C6872" w:rsidP="001C6872">
      <w:pPr>
        <w:rPr>
          <w:rFonts w:ascii="Times New Roman" w:eastAsia="Times New Roman" w:hAnsi="Times New Roman" w:cs="Times New Roman"/>
          <w:lang w:eastAsia="en-GB"/>
        </w:rPr>
      </w:pPr>
    </w:p>
    <w:p w14:paraId="317EDA46" w14:textId="77777777" w:rsidR="001C6872" w:rsidRDefault="001C6872" w:rsidP="00B51D2B">
      <w:pPr>
        <w:spacing w:after="150"/>
        <w:outlineLvl w:val="0"/>
        <w:rPr>
          <w:rFonts w:ascii="Arial" w:eastAsia="Times New Roman" w:hAnsi="Arial" w:cs="Arial"/>
          <w:b/>
          <w:bCs/>
          <w:color w:val="002158"/>
          <w:kern w:val="36"/>
          <w:sz w:val="36"/>
          <w:szCs w:val="36"/>
          <w:lang w:eastAsia="en-GB"/>
        </w:rPr>
      </w:pPr>
    </w:p>
    <w:p w14:paraId="35F9E889" w14:textId="3C92D557" w:rsidR="00E63C4A" w:rsidRDefault="001C6872"/>
    <w:p w14:paraId="680F3AA0" w14:textId="476F0DDC" w:rsidR="00B51D2B" w:rsidRDefault="00B51D2B">
      <w:r>
        <w:br w:type="page"/>
      </w:r>
    </w:p>
    <w:p w14:paraId="5BECC5E3" w14:textId="77777777" w:rsidR="00B51D2B" w:rsidRDefault="00B51D2B" w:rsidP="00B51D2B">
      <w:pPr>
        <w:pStyle w:val="Heading1"/>
        <w:pBdr>
          <w:bottom w:val="single" w:sz="6" w:space="5" w:color="BFE2EF"/>
        </w:pBdr>
        <w:spacing w:before="0" w:beforeAutospacing="0" w:after="225" w:afterAutospacing="0"/>
        <w:rPr>
          <w:rFonts w:ascii="Arial" w:hAnsi="Arial" w:cs="Arial"/>
          <w:color w:val="002158"/>
          <w:sz w:val="41"/>
          <w:szCs w:val="41"/>
        </w:rPr>
      </w:pPr>
      <w:r>
        <w:rPr>
          <w:rFonts w:ascii="Arial" w:hAnsi="Arial" w:cs="Arial"/>
          <w:color w:val="002158"/>
          <w:sz w:val="41"/>
          <w:szCs w:val="41"/>
        </w:rPr>
        <w:lastRenderedPageBreak/>
        <w:t>TMA 02 case study</w:t>
      </w:r>
    </w:p>
    <w:p w14:paraId="25706EDB" w14:textId="77777777" w:rsidR="00B51D2B" w:rsidRDefault="00B51D2B" w:rsidP="00B51D2B">
      <w:pPr>
        <w:pStyle w:val="Heading2"/>
        <w:spacing w:before="92" w:after="150"/>
        <w:rPr>
          <w:rFonts w:ascii="Arial" w:hAnsi="Arial" w:cs="Arial"/>
          <w:color w:val="002158"/>
          <w:sz w:val="36"/>
          <w:szCs w:val="36"/>
        </w:rPr>
      </w:pPr>
      <w:r>
        <w:rPr>
          <w:rFonts w:ascii="Arial" w:hAnsi="Arial" w:cs="Arial"/>
          <w:color w:val="002158"/>
        </w:rPr>
        <w:t>Fusion Holdings UK</w:t>
      </w:r>
    </w:p>
    <w:p w14:paraId="655995C8"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Fusion is a long established</w:t>
      </w:r>
      <w:r>
        <w:rPr>
          <w:rStyle w:val="apple-converted-space"/>
          <w:rFonts w:ascii="Arial" w:eastAsiaTheme="majorEastAsia" w:hAnsi="Arial" w:cs="Arial"/>
          <w:color w:val="000000"/>
          <w:sz w:val="21"/>
          <w:szCs w:val="21"/>
        </w:rPr>
        <w:t> </w:t>
      </w:r>
      <w:r>
        <w:rPr>
          <w:rFonts w:ascii="Arial" w:hAnsi="Arial" w:cs="Arial"/>
          <w:b/>
          <w:bCs/>
          <w:color w:val="000000"/>
          <w:sz w:val="21"/>
          <w:szCs w:val="21"/>
        </w:rPr>
        <w:t>transnational</w:t>
      </w:r>
      <w:hyperlink r:id="rId5" w:anchor="footnote-1" w:history="1">
        <w:r>
          <w:rPr>
            <w:rStyle w:val="Hyperlink"/>
            <w:rFonts w:ascii="Arial" w:hAnsi="Arial" w:cs="Arial"/>
            <w:color w:val="0B55A8"/>
            <w:sz w:val="16"/>
            <w:szCs w:val="16"/>
            <w:vertAlign w:val="superscript"/>
          </w:rPr>
          <w:t>1</w:t>
        </w:r>
      </w:hyperlink>
      <w:r>
        <w:rPr>
          <w:rStyle w:val="apple-converted-space"/>
          <w:rFonts w:ascii="Arial" w:eastAsiaTheme="majorEastAsia" w:hAnsi="Arial" w:cs="Arial"/>
          <w:color w:val="000000"/>
          <w:sz w:val="21"/>
          <w:szCs w:val="21"/>
        </w:rPr>
        <w:t> </w:t>
      </w:r>
      <w:r>
        <w:rPr>
          <w:rFonts w:ascii="Arial" w:hAnsi="Arial" w:cs="Arial"/>
          <w:color w:val="000000"/>
          <w:sz w:val="21"/>
          <w:szCs w:val="21"/>
        </w:rPr>
        <w:t>company which has diversified activities over the years and is structured around three main operating divisions: (1) Manufacture of children’s toys (2) Bus passenger transport and (3) Commercial/residential property. (See Appendix 4 for the Group organisation structure.) Fusion Holdings UK is a private UK limited company with a diversified shareholder base. The company has its headquarters in London, and as part of a group structure, wholly owns subsidiary companies in the UK, China and the US. Each operating division is headed up by a General Manager (GM).</w:t>
      </w:r>
    </w:p>
    <w:p w14:paraId="38D40BC6"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A new chief executive (CEO), Mr. Claude </w:t>
      </w:r>
      <w:proofErr w:type="spellStart"/>
      <w:r>
        <w:rPr>
          <w:rFonts w:ascii="Arial" w:hAnsi="Arial" w:cs="Arial"/>
          <w:color w:val="000000"/>
          <w:sz w:val="21"/>
          <w:szCs w:val="21"/>
        </w:rPr>
        <w:t>Tamak</w:t>
      </w:r>
      <w:proofErr w:type="spellEnd"/>
      <w:r>
        <w:rPr>
          <w:rFonts w:ascii="Arial" w:hAnsi="Arial" w:cs="Arial"/>
          <w:color w:val="000000"/>
          <w:sz w:val="21"/>
          <w:szCs w:val="21"/>
        </w:rPr>
        <w:t xml:space="preserve">, was recently appointed by the Board. The company was previously directed by Mr. Conrad </w:t>
      </w:r>
      <w:proofErr w:type="spellStart"/>
      <w:r>
        <w:rPr>
          <w:rFonts w:ascii="Arial" w:hAnsi="Arial" w:cs="Arial"/>
          <w:color w:val="000000"/>
          <w:sz w:val="21"/>
          <w:szCs w:val="21"/>
        </w:rPr>
        <w:t>Delburn</w:t>
      </w:r>
      <w:proofErr w:type="spellEnd"/>
      <w:r>
        <w:rPr>
          <w:rFonts w:ascii="Arial" w:hAnsi="Arial" w:cs="Arial"/>
          <w:color w:val="000000"/>
          <w:sz w:val="21"/>
          <w:szCs w:val="21"/>
        </w:rPr>
        <w:t xml:space="preserve">, who had led the company for ten years. While the company’s operating performance was in the most part satisfactory during the leadership of Mr. </w:t>
      </w:r>
      <w:proofErr w:type="spellStart"/>
      <w:r>
        <w:rPr>
          <w:rFonts w:ascii="Arial" w:hAnsi="Arial" w:cs="Arial"/>
          <w:color w:val="000000"/>
          <w:sz w:val="21"/>
          <w:szCs w:val="21"/>
        </w:rPr>
        <w:t>Delburn</w:t>
      </w:r>
      <w:proofErr w:type="spellEnd"/>
      <w:r>
        <w:rPr>
          <w:rFonts w:ascii="Arial" w:hAnsi="Arial" w:cs="Arial"/>
          <w:color w:val="000000"/>
          <w:sz w:val="21"/>
          <w:szCs w:val="21"/>
        </w:rPr>
        <w:t xml:space="preserve">, in most recent </w:t>
      </w:r>
      <w:proofErr w:type="gramStart"/>
      <w:r>
        <w:rPr>
          <w:rFonts w:ascii="Arial" w:hAnsi="Arial" w:cs="Arial"/>
          <w:color w:val="000000"/>
          <w:sz w:val="21"/>
          <w:szCs w:val="21"/>
        </w:rPr>
        <w:t>years</w:t>
      </w:r>
      <w:proofErr w:type="gramEnd"/>
      <w:r>
        <w:rPr>
          <w:rFonts w:ascii="Arial" w:hAnsi="Arial" w:cs="Arial"/>
          <w:color w:val="000000"/>
          <w:sz w:val="21"/>
          <w:szCs w:val="21"/>
        </w:rPr>
        <w:t xml:space="preserve"> performance has stagnated or declined in cases through a combination of factors including increasing competition and rising costs. Mr. </w:t>
      </w:r>
      <w:proofErr w:type="spellStart"/>
      <w:r>
        <w:rPr>
          <w:rFonts w:ascii="Arial" w:hAnsi="Arial" w:cs="Arial"/>
          <w:color w:val="000000"/>
          <w:sz w:val="21"/>
          <w:szCs w:val="21"/>
        </w:rPr>
        <w:t>Tamak</w:t>
      </w:r>
      <w:proofErr w:type="spellEnd"/>
      <w:r>
        <w:rPr>
          <w:rFonts w:ascii="Arial" w:hAnsi="Arial" w:cs="Arial"/>
          <w:color w:val="000000"/>
          <w:sz w:val="21"/>
          <w:szCs w:val="21"/>
        </w:rPr>
        <w:t xml:space="preserve"> has been appointed to reinvigorate the company, and provide growth in the business lines, ultimately impacting on profitability and the overall value of the company. Mr. </w:t>
      </w:r>
      <w:proofErr w:type="spellStart"/>
      <w:r>
        <w:rPr>
          <w:rFonts w:ascii="Arial" w:hAnsi="Arial" w:cs="Arial"/>
          <w:color w:val="000000"/>
          <w:sz w:val="21"/>
          <w:szCs w:val="21"/>
        </w:rPr>
        <w:t>Tamak</w:t>
      </w:r>
      <w:proofErr w:type="spellEnd"/>
      <w:r>
        <w:rPr>
          <w:rFonts w:ascii="Arial" w:hAnsi="Arial" w:cs="Arial"/>
          <w:color w:val="000000"/>
          <w:sz w:val="21"/>
          <w:szCs w:val="21"/>
        </w:rPr>
        <w:t xml:space="preserve"> informed the</w:t>
      </w:r>
      <w:r>
        <w:rPr>
          <w:rStyle w:val="apple-converted-space"/>
          <w:rFonts w:ascii="Arial" w:eastAsiaTheme="majorEastAsia" w:hAnsi="Arial" w:cs="Arial"/>
          <w:color w:val="000000"/>
          <w:sz w:val="21"/>
          <w:szCs w:val="21"/>
        </w:rPr>
        <w:t> </w:t>
      </w:r>
      <w:r>
        <w:rPr>
          <w:rFonts w:ascii="Arial" w:hAnsi="Arial" w:cs="Arial"/>
          <w:b/>
          <w:bCs/>
          <w:color w:val="000000"/>
          <w:sz w:val="21"/>
          <w:szCs w:val="21"/>
        </w:rPr>
        <w:t>C-Suite</w:t>
      </w:r>
      <w:r>
        <w:rPr>
          <w:rStyle w:val="apple-converted-space"/>
          <w:rFonts w:ascii="Arial" w:eastAsiaTheme="majorEastAsia" w:hAnsi="Arial" w:cs="Arial"/>
          <w:color w:val="000000"/>
          <w:sz w:val="21"/>
          <w:szCs w:val="21"/>
        </w:rPr>
        <w:t> </w:t>
      </w:r>
      <w:r>
        <w:rPr>
          <w:rFonts w:ascii="Arial" w:hAnsi="Arial" w:cs="Arial"/>
          <w:color w:val="000000"/>
          <w:sz w:val="21"/>
          <w:szCs w:val="21"/>
        </w:rPr>
        <w:t xml:space="preserve">team of the company on his first meeting with them that the strategic direction of the company would be reviewed within the first 100 days of his term, with the objective of establishing a new strategic plan which he intends calling ‘Vision 2023’. The call to action has reverberated throughout the company and the whisper of redundancies has flowed through the company grapevine. As requested by the CEO, the Chief Financial Officer (CFO), Ms. </w:t>
      </w:r>
      <w:proofErr w:type="spellStart"/>
      <w:r>
        <w:rPr>
          <w:rFonts w:ascii="Arial" w:hAnsi="Arial" w:cs="Arial"/>
          <w:color w:val="000000"/>
          <w:sz w:val="21"/>
          <w:szCs w:val="21"/>
        </w:rPr>
        <w:t>Ramell</w:t>
      </w:r>
      <w:proofErr w:type="spellEnd"/>
      <w:r>
        <w:rPr>
          <w:rFonts w:ascii="Arial" w:hAnsi="Arial" w:cs="Arial"/>
          <w:color w:val="000000"/>
          <w:sz w:val="21"/>
          <w:szCs w:val="21"/>
        </w:rPr>
        <w:t xml:space="preserve"> </w:t>
      </w:r>
      <w:proofErr w:type="spellStart"/>
      <w:r>
        <w:rPr>
          <w:rFonts w:ascii="Arial" w:hAnsi="Arial" w:cs="Arial"/>
          <w:color w:val="000000"/>
          <w:sz w:val="21"/>
          <w:szCs w:val="21"/>
        </w:rPr>
        <w:t>Yitida</w:t>
      </w:r>
      <w:proofErr w:type="spellEnd"/>
      <w:r>
        <w:rPr>
          <w:rFonts w:ascii="Arial" w:hAnsi="Arial" w:cs="Arial"/>
          <w:color w:val="000000"/>
          <w:sz w:val="21"/>
          <w:szCs w:val="21"/>
        </w:rPr>
        <w:t>, presented a detailed business report at the aforementioned c-suite meeting, with the following extract reflecting key points made.</w:t>
      </w:r>
    </w:p>
    <w:p w14:paraId="39D476E8"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i/>
          <w:iCs/>
          <w:color w:val="000000"/>
          <w:sz w:val="21"/>
          <w:szCs w:val="21"/>
          <w:u w:val="single"/>
        </w:rPr>
        <w:t>Extract of C-Suite Meeting 1 April 2017:</w:t>
      </w:r>
    </w:p>
    <w:p w14:paraId="26E2832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(1) Manufacturing Business (See Appendix 3)</w:t>
      </w:r>
    </w:p>
    <w:p w14:paraId="5ACEB6C7"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This business line has been operational for over 25 years. Fusion manufactures an extensive range of products within the children’s toy industry. Many of the toys manufactured are protected through patents and trademarks held by the company. In </w:t>
      </w:r>
      <w:proofErr w:type="gramStart"/>
      <w:r>
        <w:rPr>
          <w:rFonts w:ascii="Arial" w:hAnsi="Arial" w:cs="Arial"/>
          <w:color w:val="000000"/>
          <w:sz w:val="21"/>
          <w:szCs w:val="21"/>
        </w:rPr>
        <w:t>addition</w:t>
      </w:r>
      <w:proofErr w:type="gramEnd"/>
      <w:r>
        <w:rPr>
          <w:rFonts w:ascii="Arial" w:hAnsi="Arial" w:cs="Arial"/>
          <w:color w:val="000000"/>
          <w:sz w:val="21"/>
          <w:szCs w:val="21"/>
        </w:rPr>
        <w:t xml:space="preserve"> third parties can place orders with the manufacturing division, subject to spare capacity being available. The manufacturing business has a small innovation team which is tasked with improving or developing products for markets. The industry is changing rapidly, with the following key trends impacting the business:</w:t>
      </w:r>
    </w:p>
    <w:p w14:paraId="4746C5F0"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i</w:t>
      </w:r>
      <w:proofErr w:type="spellEnd"/>
      <w:r>
        <w:rPr>
          <w:rFonts w:ascii="Arial" w:hAnsi="Arial" w:cs="Arial"/>
          <w:color w:val="000000"/>
          <w:sz w:val="21"/>
          <w:szCs w:val="21"/>
        </w:rPr>
        <w:t>) Use of technology in the provision of drones, robots and Toys-To-Life. The Toys-To-Life combine innovative and affordable technology with traditional toys to provide a 360-degree interactive play experience for the toy user.</w:t>
      </w:r>
    </w:p>
    <w:p w14:paraId="0124534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(ii) Family orientated toys bridging the generation gap, as well as providing millennial parents with the opportunity to use toys from their childhood in the development of social aspects including family bonding.</w:t>
      </w:r>
    </w:p>
    <w:p w14:paraId="699B31B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(iii) Education</w:t>
      </w:r>
      <w:r>
        <w:rPr>
          <w:rStyle w:val="apple-converted-space"/>
          <w:rFonts w:ascii="Arial" w:eastAsiaTheme="majorEastAsia" w:hAnsi="Arial" w:cs="Arial"/>
          <w:color w:val="000000"/>
          <w:sz w:val="21"/>
          <w:szCs w:val="21"/>
        </w:rPr>
        <w:t> </w:t>
      </w:r>
      <w:r>
        <w:rPr>
          <w:rFonts w:ascii="Arial" w:hAnsi="Arial" w:cs="Arial"/>
          <w:b/>
          <w:bCs/>
          <w:color w:val="000000"/>
          <w:sz w:val="21"/>
          <w:szCs w:val="21"/>
        </w:rPr>
        <w:t>STEAM</w:t>
      </w:r>
      <w:r>
        <w:rPr>
          <w:rStyle w:val="apple-converted-space"/>
          <w:rFonts w:ascii="Arial" w:eastAsiaTheme="majorEastAsia" w:hAnsi="Arial" w:cs="Arial"/>
          <w:color w:val="000000"/>
          <w:sz w:val="21"/>
          <w:szCs w:val="21"/>
        </w:rPr>
        <w:t> </w:t>
      </w:r>
      <w:r>
        <w:rPr>
          <w:rFonts w:ascii="Arial" w:hAnsi="Arial" w:cs="Arial"/>
          <w:color w:val="000000"/>
          <w:sz w:val="21"/>
          <w:szCs w:val="21"/>
        </w:rPr>
        <w:t>toys that develop the skillset of the child.</w:t>
      </w:r>
      <w:r>
        <w:rPr>
          <w:rStyle w:val="apple-converted-space"/>
          <w:rFonts w:ascii="Arial" w:eastAsiaTheme="majorEastAsia" w:hAnsi="Arial" w:cs="Arial"/>
          <w:color w:val="000000"/>
          <w:sz w:val="21"/>
          <w:szCs w:val="21"/>
        </w:rPr>
        <w:t> </w:t>
      </w:r>
    </w:p>
    <w:p w14:paraId="01CE32E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product lines are manufactured at plants in the UK and China, with most sales into the UK, European and US markets.</w:t>
      </w:r>
    </w:p>
    <w:p w14:paraId="5E83F14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company opened its manufacturing plant in China in </w:t>
      </w:r>
      <w:proofErr w:type="gramStart"/>
      <w:r>
        <w:rPr>
          <w:rFonts w:ascii="Arial" w:hAnsi="Arial" w:cs="Arial"/>
          <w:color w:val="000000"/>
          <w:sz w:val="21"/>
          <w:szCs w:val="21"/>
        </w:rPr>
        <w:t>1998, and</w:t>
      </w:r>
      <w:proofErr w:type="gramEnd"/>
      <w:r>
        <w:rPr>
          <w:rFonts w:ascii="Arial" w:hAnsi="Arial" w:cs="Arial"/>
          <w:color w:val="000000"/>
          <w:sz w:val="21"/>
          <w:szCs w:val="21"/>
        </w:rPr>
        <w:t xml:space="preserve"> has seen considerable developments take place in that country over the intervening period to the present day. One side effect has been increasing labour costs, which has impacted on product production costs.</w:t>
      </w:r>
    </w:p>
    <w:p w14:paraId="06CB37F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lastRenderedPageBreak/>
        <w:t>The company uses a</w:t>
      </w:r>
      <w:r>
        <w:rPr>
          <w:rStyle w:val="apple-converted-space"/>
          <w:rFonts w:ascii="Arial" w:eastAsiaTheme="majorEastAsia" w:hAnsi="Arial" w:cs="Arial"/>
          <w:color w:val="000000"/>
          <w:sz w:val="21"/>
          <w:szCs w:val="21"/>
        </w:rPr>
        <w:t> </w:t>
      </w:r>
      <w:r>
        <w:rPr>
          <w:rFonts w:ascii="Arial" w:hAnsi="Arial" w:cs="Arial"/>
          <w:b/>
          <w:bCs/>
          <w:color w:val="000000"/>
          <w:sz w:val="21"/>
          <w:szCs w:val="21"/>
        </w:rPr>
        <w:t>distributor model</w:t>
      </w:r>
      <w:r>
        <w:rPr>
          <w:rStyle w:val="apple-converted-space"/>
          <w:rFonts w:ascii="Arial" w:eastAsiaTheme="majorEastAsia" w:hAnsi="Arial" w:cs="Arial"/>
          <w:color w:val="000000"/>
          <w:sz w:val="21"/>
          <w:szCs w:val="21"/>
        </w:rPr>
        <w:t> </w:t>
      </w:r>
      <w:r>
        <w:rPr>
          <w:rFonts w:ascii="Arial" w:hAnsi="Arial" w:cs="Arial"/>
          <w:color w:val="000000"/>
          <w:sz w:val="21"/>
          <w:szCs w:val="21"/>
        </w:rPr>
        <w:t>to export product into the US and EU markets, while it sells directly through a network of owned retail presences in the UK. The main terms of the engagement with the distributors in the US/EU markets include:</w:t>
      </w:r>
    </w:p>
    <w:p w14:paraId="3D2DBD3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1. The distributor purchases the product </w:t>
      </w:r>
      <w:proofErr w:type="gramStart"/>
      <w:r>
        <w:rPr>
          <w:rFonts w:ascii="Arial" w:hAnsi="Arial" w:cs="Arial"/>
          <w:color w:val="000000"/>
          <w:sz w:val="21"/>
          <w:szCs w:val="21"/>
        </w:rPr>
        <w:t>outright, and</w:t>
      </w:r>
      <w:proofErr w:type="gramEnd"/>
      <w:r>
        <w:rPr>
          <w:rFonts w:ascii="Arial" w:hAnsi="Arial" w:cs="Arial"/>
          <w:color w:val="000000"/>
          <w:sz w:val="21"/>
          <w:szCs w:val="21"/>
        </w:rPr>
        <w:t xml:space="preserve"> provides a mark-up in on-selling to third parties. The distributor therefore carries the re-selling risk.</w:t>
      </w:r>
    </w:p>
    <w:p w14:paraId="1EBFD3D3"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2. Distributors are appointed on an exclusive basis for particular regions and are required to address local sales and after sales enquiries.</w:t>
      </w:r>
    </w:p>
    <w:p w14:paraId="402E030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3. The currency used by Fusion in invoicing to distributors is negotiated on a case by case basis.</w:t>
      </w:r>
    </w:p>
    <w:p w14:paraId="4036A797"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Import duties and tariffs may be applied on the movement of the goods between trading blocks. Currently children’s goods (</w:t>
      </w:r>
      <w:r>
        <w:rPr>
          <w:rFonts w:ascii="Arial" w:hAnsi="Arial" w:cs="Arial"/>
          <w:b/>
          <w:bCs/>
          <w:color w:val="000000"/>
          <w:sz w:val="21"/>
          <w:szCs w:val="21"/>
        </w:rPr>
        <w:t>HS Code</w:t>
      </w:r>
      <w:r>
        <w:rPr>
          <w:rStyle w:val="apple-converted-space"/>
          <w:rFonts w:ascii="Arial" w:eastAsiaTheme="majorEastAsia" w:hAnsi="Arial" w:cs="Arial"/>
          <w:color w:val="000000"/>
          <w:sz w:val="21"/>
          <w:szCs w:val="21"/>
        </w:rPr>
        <w:t> </w:t>
      </w:r>
      <w:r>
        <w:rPr>
          <w:rFonts w:ascii="Arial" w:hAnsi="Arial" w:cs="Arial"/>
          <w:color w:val="000000"/>
          <w:sz w:val="21"/>
          <w:szCs w:val="21"/>
        </w:rPr>
        <w:t xml:space="preserve">9503.00.00) shipped from China to the US are subject to a </w:t>
      </w:r>
      <w:proofErr w:type="gramStart"/>
      <w:r>
        <w:rPr>
          <w:rFonts w:ascii="Arial" w:hAnsi="Arial" w:cs="Arial"/>
          <w:color w:val="000000"/>
          <w:sz w:val="21"/>
          <w:szCs w:val="21"/>
        </w:rPr>
        <w:t>zero rating</w:t>
      </w:r>
      <w:proofErr w:type="gramEnd"/>
      <w:r>
        <w:rPr>
          <w:rFonts w:ascii="Arial" w:hAnsi="Arial" w:cs="Arial"/>
          <w:color w:val="000000"/>
          <w:sz w:val="21"/>
          <w:szCs w:val="21"/>
        </w:rPr>
        <w:t xml:space="preserve"> tariff. </w:t>
      </w:r>
      <w:proofErr w:type="gramStart"/>
      <w:r>
        <w:rPr>
          <w:rFonts w:ascii="Arial" w:hAnsi="Arial" w:cs="Arial"/>
          <w:color w:val="000000"/>
          <w:sz w:val="21"/>
          <w:szCs w:val="21"/>
        </w:rPr>
        <w:t>However</w:t>
      </w:r>
      <w:proofErr w:type="gramEnd"/>
      <w:r>
        <w:rPr>
          <w:rFonts w:ascii="Arial" w:hAnsi="Arial" w:cs="Arial"/>
          <w:color w:val="000000"/>
          <w:sz w:val="21"/>
          <w:szCs w:val="21"/>
        </w:rPr>
        <w:t xml:space="preserve"> the company is concerned that political relations between China and the US may lead to the imposition of a rated tariff on the import of products generally from China, including children’s toy products.</w:t>
      </w:r>
    </w:p>
    <w:p w14:paraId="0BC81E5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(2) Bus Transport (See Appendix 1)</w:t>
      </w:r>
    </w:p>
    <w:p w14:paraId="17413C03"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business is focused within the UK. The company operates a number of bus routes against competing bus passenger service providers, as well as competition from rail and air travel. The business struggles with a high cost base in a very competitive market. The company has ventured into new </w:t>
      </w:r>
      <w:proofErr w:type="gramStart"/>
      <w:r>
        <w:rPr>
          <w:rFonts w:ascii="Arial" w:hAnsi="Arial" w:cs="Arial"/>
          <w:color w:val="000000"/>
          <w:sz w:val="21"/>
          <w:szCs w:val="21"/>
        </w:rPr>
        <w:t>routes</w:t>
      </w:r>
      <w:proofErr w:type="gramEnd"/>
      <w:r>
        <w:rPr>
          <w:rFonts w:ascii="Arial" w:hAnsi="Arial" w:cs="Arial"/>
          <w:color w:val="000000"/>
          <w:sz w:val="21"/>
          <w:szCs w:val="21"/>
        </w:rPr>
        <w:t xml:space="preserve"> but it hasn’t been successful, despite establishing a pricing point for fares below that of competitors. The head of the business unit is at a loss to explain this, and with concerns mounting over the viability of the business, the spectre of divestment hangs over the operating segment.</w:t>
      </w:r>
      <w:r>
        <w:rPr>
          <w:rStyle w:val="apple-converted-space"/>
          <w:rFonts w:ascii="Arial" w:eastAsiaTheme="majorEastAsia" w:hAnsi="Arial" w:cs="Arial"/>
          <w:color w:val="000000"/>
          <w:sz w:val="21"/>
          <w:szCs w:val="21"/>
        </w:rPr>
        <w:t> </w:t>
      </w:r>
    </w:p>
    <w:p w14:paraId="3CA80659"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(3) Commercial/Residential Property (development for sale, or build to rent model)</w:t>
      </w:r>
    </w:p>
    <w:p w14:paraId="1508543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Activities in the UK and US markets include residential and commercial property development, as well as the provision of facility management (‘FM’) services. In the earlier years of this business segment, the significant cash flows generated by the manufacturing business were used to fund the acquisition of property. Subsequently various debt instruments have been introduced into the funding mix to provide more capital for expansion. With the escalation of property prices in the Greater London area, the company has gone to the loan market (seeking £250m in finance) and requested loan debt proposals from banks interested in submitting to the invitation to</w:t>
      </w:r>
      <w:r>
        <w:rPr>
          <w:rStyle w:val="apple-converted-space"/>
          <w:rFonts w:ascii="Arial" w:eastAsiaTheme="majorEastAsia" w:hAnsi="Arial" w:cs="Arial"/>
          <w:color w:val="000000"/>
          <w:sz w:val="21"/>
          <w:szCs w:val="21"/>
        </w:rPr>
        <w:t> </w:t>
      </w:r>
      <w:r>
        <w:rPr>
          <w:rFonts w:ascii="Arial" w:hAnsi="Arial" w:cs="Arial"/>
          <w:b/>
          <w:bCs/>
          <w:color w:val="000000"/>
          <w:sz w:val="21"/>
          <w:szCs w:val="21"/>
        </w:rPr>
        <w:t>tender</w:t>
      </w:r>
      <w:r>
        <w:rPr>
          <w:rStyle w:val="apple-converted-space"/>
          <w:rFonts w:ascii="Arial" w:eastAsiaTheme="majorEastAsia" w:hAnsi="Arial" w:cs="Arial"/>
          <w:color w:val="000000"/>
          <w:sz w:val="21"/>
          <w:szCs w:val="21"/>
        </w:rPr>
        <w:t> </w:t>
      </w:r>
      <w:r>
        <w:rPr>
          <w:rFonts w:ascii="Arial" w:hAnsi="Arial" w:cs="Arial"/>
          <w:color w:val="000000"/>
          <w:sz w:val="21"/>
          <w:szCs w:val="21"/>
        </w:rPr>
        <w:t>request. The company does not have the cash resources available to fund any significant acquisition or further development of its property portfolio itself. Three proposals have been received to date (Appendix 5).</w:t>
      </w:r>
    </w:p>
    <w:p w14:paraId="7B9340D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CFO also outlined that the company has experienced significant expansion over the years, with resources focused on the front line rather than in support functions. This has led to an unbalanced situation where, taking the finance function as an example, there hasn’t been sufficient resources to manage the foreign exchange and interest rate risk the company is exposed to. The CFO is convinced significant cost savings can be made in managing these risks better and has urged for the recruitment of resources with appropriate expertise.</w:t>
      </w:r>
    </w:p>
    <w:p w14:paraId="5B2BF5F6"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more recent trend in trade receivables has been the increasing time taken by customers to make payment. The passenger transport business segment is largely consumer based and therefore tickets are purchased and paid for in advance of travel. In both the manufacturing and property business segments there are a number of customers in different markets with aged customer balances owing. These amounts owed are increasing monthly in certain cases. The sales teams feel that they need to show more flexibility towards clients, particularly given the sales volume trends in the manufacturing segment. In the manufacturing business </w:t>
      </w:r>
      <w:proofErr w:type="gramStart"/>
      <w:r>
        <w:rPr>
          <w:rFonts w:ascii="Arial" w:hAnsi="Arial" w:cs="Arial"/>
          <w:color w:val="000000"/>
          <w:sz w:val="21"/>
          <w:szCs w:val="21"/>
        </w:rPr>
        <w:t>segment</w:t>
      </w:r>
      <w:proofErr w:type="gramEnd"/>
      <w:r>
        <w:rPr>
          <w:rFonts w:ascii="Arial" w:hAnsi="Arial" w:cs="Arial"/>
          <w:color w:val="000000"/>
          <w:sz w:val="21"/>
          <w:szCs w:val="21"/>
        </w:rPr>
        <w:t xml:space="preserve"> there have been some heated exchanges from certain distributors who have described the products as slow moving and insisted on increased credit terms to assist their cash flow. Some distributors </w:t>
      </w:r>
      <w:r>
        <w:rPr>
          <w:rFonts w:ascii="Arial" w:hAnsi="Arial" w:cs="Arial"/>
          <w:color w:val="000000"/>
          <w:sz w:val="21"/>
          <w:szCs w:val="21"/>
        </w:rPr>
        <w:lastRenderedPageBreak/>
        <w:t xml:space="preserve">have suggested they may have to look at holding less inventory of Fusion’s </w:t>
      </w:r>
      <w:proofErr w:type="gramStart"/>
      <w:r>
        <w:rPr>
          <w:rFonts w:ascii="Arial" w:hAnsi="Arial" w:cs="Arial"/>
          <w:color w:val="000000"/>
          <w:sz w:val="21"/>
          <w:szCs w:val="21"/>
        </w:rPr>
        <w:t>products, and</w:t>
      </w:r>
      <w:proofErr w:type="gramEnd"/>
      <w:r>
        <w:rPr>
          <w:rFonts w:ascii="Arial" w:hAnsi="Arial" w:cs="Arial"/>
          <w:color w:val="000000"/>
          <w:sz w:val="21"/>
          <w:szCs w:val="21"/>
        </w:rPr>
        <w:t xml:space="preserve"> have also flagged that other competing product manufacturers offer early settlement discounts.</w:t>
      </w:r>
      <w:r>
        <w:rPr>
          <w:rStyle w:val="apple-converted-space"/>
          <w:rFonts w:ascii="Arial" w:eastAsiaTheme="majorEastAsia" w:hAnsi="Arial" w:cs="Arial"/>
          <w:color w:val="000000"/>
          <w:sz w:val="21"/>
          <w:szCs w:val="21"/>
        </w:rPr>
        <w:t> </w:t>
      </w:r>
    </w:p>
    <w:p w14:paraId="4087C77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sales team have also been approached by potential distributors based in South America and Asia. To establish a foothold in new markets one of the sales team recommendations has been to extend the period of credit given to new clients (standard terms 30 days). In the past this approach has served the company well as it enables long lasting relationships to be established with new distributors, e.g. in the US and EU markets. At the outset of going into the US market, the sales director regales the risk culture that was in the company at that time and how it took a chance on certain distributors and built up large amounts of inventory with them. The new CEO is supportive of entry into different </w:t>
      </w:r>
      <w:proofErr w:type="gramStart"/>
      <w:r>
        <w:rPr>
          <w:rFonts w:ascii="Arial" w:hAnsi="Arial" w:cs="Arial"/>
          <w:color w:val="000000"/>
          <w:sz w:val="21"/>
          <w:szCs w:val="21"/>
        </w:rPr>
        <w:t>markets, but</w:t>
      </w:r>
      <w:proofErr w:type="gramEnd"/>
      <w:r>
        <w:rPr>
          <w:rFonts w:ascii="Arial" w:hAnsi="Arial" w:cs="Arial"/>
          <w:color w:val="000000"/>
          <w:sz w:val="21"/>
          <w:szCs w:val="21"/>
        </w:rPr>
        <w:t xml:space="preserve"> is also concerned about selling on credit into countries that the Group has had no experience of or previous exposure to, particularly given the fact that the Group does not seem to have a credit policy in place.</w:t>
      </w:r>
    </w:p>
    <w:p w14:paraId="33FD008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sales team are considering putting forward a proposal to management in relation to introducing an early settlement discount of 1% for customers that pay ahead of standard trade terms (i.e. pay within 10 days). Ms. </w:t>
      </w:r>
      <w:proofErr w:type="spellStart"/>
      <w:r>
        <w:rPr>
          <w:rFonts w:ascii="Arial" w:hAnsi="Arial" w:cs="Arial"/>
          <w:color w:val="000000"/>
          <w:sz w:val="21"/>
          <w:szCs w:val="21"/>
        </w:rPr>
        <w:t>Yitida</w:t>
      </w:r>
      <w:proofErr w:type="spellEnd"/>
      <w:r>
        <w:rPr>
          <w:rFonts w:ascii="Arial" w:hAnsi="Arial" w:cs="Arial"/>
          <w:color w:val="000000"/>
          <w:sz w:val="21"/>
          <w:szCs w:val="21"/>
        </w:rPr>
        <w:t xml:space="preserve"> is unsure on balance whether this would be the best solution to the escalating trade receivables </w:t>
      </w:r>
      <w:proofErr w:type="gramStart"/>
      <w:r>
        <w:rPr>
          <w:rFonts w:ascii="Arial" w:hAnsi="Arial" w:cs="Arial"/>
          <w:color w:val="000000"/>
          <w:sz w:val="21"/>
          <w:szCs w:val="21"/>
        </w:rPr>
        <w:t>situation, and</w:t>
      </w:r>
      <w:proofErr w:type="gramEnd"/>
      <w:r>
        <w:rPr>
          <w:rFonts w:ascii="Arial" w:hAnsi="Arial" w:cs="Arial"/>
          <w:color w:val="000000"/>
          <w:sz w:val="21"/>
          <w:szCs w:val="21"/>
        </w:rPr>
        <w:t xml:space="preserve"> would like to explore other options also as part of the review of the sales team proposal.</w:t>
      </w:r>
    </w:p>
    <w:p w14:paraId="0C0AB130"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End of Extract from C-Suite Meeting 1 April 2017.</w:t>
      </w:r>
    </w:p>
    <w:p w14:paraId="0A738BAA" w14:textId="113C2601" w:rsidR="00B51D2B" w:rsidRDefault="00B51D2B"/>
    <w:p w14:paraId="2CBF31E1" w14:textId="77777777" w:rsidR="00B51D2B" w:rsidRDefault="00B51D2B">
      <w:pPr>
        <w:rPr>
          <w:rFonts w:ascii="Arial" w:eastAsia="Times New Roman" w:hAnsi="Arial" w:cs="Arial"/>
          <w:b/>
          <w:bCs/>
          <w:color w:val="002158"/>
          <w:kern w:val="36"/>
          <w:sz w:val="36"/>
          <w:szCs w:val="36"/>
          <w:lang w:eastAsia="en-GB"/>
        </w:rPr>
      </w:pPr>
      <w:r>
        <w:rPr>
          <w:rFonts w:ascii="Arial" w:hAnsi="Arial" w:cs="Arial"/>
          <w:color w:val="002158"/>
          <w:sz w:val="36"/>
          <w:szCs w:val="36"/>
        </w:rPr>
        <w:br w:type="page"/>
      </w:r>
    </w:p>
    <w:p w14:paraId="36D4C8D8" w14:textId="7D547952"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1: Group Consolidated Income Statement (£m)</w:t>
      </w:r>
    </w:p>
    <w:p w14:paraId="462240A6" w14:textId="48848605" w:rsidR="00B51D2B" w:rsidRDefault="00B51D2B">
      <w:r>
        <w:rPr>
          <w:noProof/>
        </w:rPr>
        <w:drawing>
          <wp:anchor distT="0" distB="0" distL="114300" distR="114300" simplePos="0" relativeHeight="251659264" behindDoc="0" locked="0" layoutInCell="1" allowOverlap="1" wp14:anchorId="0D681188" wp14:editId="1DF6152B">
            <wp:simplePos x="0" y="0"/>
            <wp:positionH relativeFrom="column">
              <wp:posOffset>-575732</wp:posOffset>
            </wp:positionH>
            <wp:positionV relativeFrom="paragraph">
              <wp:posOffset>183303</wp:posOffset>
            </wp:positionV>
            <wp:extent cx="6833658" cy="3911550"/>
            <wp:effectExtent l="0" t="0" r="0" b="635"/>
            <wp:wrapNone/>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1-18 at 17.34.3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3845" cy="3923105"/>
                    </a:xfrm>
                    <a:prstGeom prst="rect">
                      <a:avLst/>
                    </a:prstGeom>
                  </pic:spPr>
                </pic:pic>
              </a:graphicData>
            </a:graphic>
            <wp14:sizeRelH relativeFrom="page">
              <wp14:pctWidth>0</wp14:pctWidth>
            </wp14:sizeRelH>
            <wp14:sizeRelV relativeFrom="page">
              <wp14:pctHeight>0</wp14:pctHeight>
            </wp14:sizeRelV>
          </wp:anchor>
        </w:drawing>
      </w:r>
    </w:p>
    <w:p w14:paraId="16861F79" w14:textId="43DB20C2" w:rsidR="00B51D2B" w:rsidRDefault="00B51D2B"/>
    <w:p w14:paraId="5D82131C" w14:textId="77777777" w:rsidR="00B51D2B" w:rsidRDefault="00B51D2B"/>
    <w:p w14:paraId="1796329E" w14:textId="77777777" w:rsidR="00B51D2B" w:rsidRDefault="00B51D2B"/>
    <w:p w14:paraId="1767B7EA" w14:textId="77777777" w:rsidR="00B51D2B" w:rsidRDefault="00B51D2B"/>
    <w:p w14:paraId="10FB289D" w14:textId="77777777" w:rsidR="00B51D2B" w:rsidRDefault="00B51D2B"/>
    <w:p w14:paraId="746E986E" w14:textId="77777777" w:rsidR="00B51D2B" w:rsidRDefault="00B51D2B"/>
    <w:p w14:paraId="4B74312E" w14:textId="77777777" w:rsidR="00B51D2B" w:rsidRDefault="00B51D2B"/>
    <w:p w14:paraId="74A754DE" w14:textId="77777777" w:rsidR="00B51D2B" w:rsidRDefault="00B51D2B"/>
    <w:p w14:paraId="225CE8D8" w14:textId="77777777" w:rsidR="00B51D2B" w:rsidRDefault="00B51D2B"/>
    <w:p w14:paraId="55EE8379" w14:textId="77777777" w:rsidR="00B51D2B" w:rsidRDefault="00B51D2B"/>
    <w:p w14:paraId="5B20487A" w14:textId="77777777" w:rsidR="00B51D2B" w:rsidRDefault="00B51D2B"/>
    <w:p w14:paraId="314A51E6" w14:textId="77777777" w:rsidR="00B51D2B" w:rsidRDefault="00B51D2B"/>
    <w:p w14:paraId="00B86E89" w14:textId="77777777" w:rsidR="00B51D2B" w:rsidRDefault="00B51D2B"/>
    <w:p w14:paraId="2E725C35" w14:textId="77777777" w:rsidR="00B51D2B" w:rsidRDefault="00B51D2B"/>
    <w:p w14:paraId="0F0F4112" w14:textId="77777777" w:rsidR="00B51D2B" w:rsidRDefault="00B51D2B"/>
    <w:p w14:paraId="4D9E03AD" w14:textId="77777777" w:rsidR="00B51D2B" w:rsidRDefault="00B51D2B"/>
    <w:p w14:paraId="1180A840" w14:textId="77777777" w:rsidR="00B51D2B" w:rsidRDefault="00B51D2B"/>
    <w:p w14:paraId="51C28CD4" w14:textId="77777777" w:rsidR="00B51D2B" w:rsidRDefault="00B51D2B"/>
    <w:p w14:paraId="64628DA8" w14:textId="77777777" w:rsidR="00B51D2B" w:rsidRDefault="00B51D2B"/>
    <w:p w14:paraId="640897EC" w14:textId="77777777" w:rsidR="00B51D2B" w:rsidRDefault="00B51D2B"/>
    <w:p w14:paraId="3CDE2570" w14:textId="77777777" w:rsidR="00B51D2B" w:rsidRDefault="00B51D2B">
      <w:pPr>
        <w:rPr>
          <w:rFonts w:ascii="Arial" w:eastAsia="Times New Roman" w:hAnsi="Arial" w:cs="Arial"/>
          <w:b/>
          <w:bCs/>
          <w:color w:val="002158"/>
          <w:kern w:val="36"/>
          <w:sz w:val="36"/>
          <w:szCs w:val="36"/>
          <w:lang w:eastAsia="en-GB"/>
        </w:rPr>
      </w:pPr>
      <w:r>
        <w:rPr>
          <w:rFonts w:ascii="Arial" w:hAnsi="Arial" w:cs="Arial"/>
          <w:color w:val="002158"/>
          <w:sz w:val="36"/>
          <w:szCs w:val="36"/>
        </w:rPr>
        <w:br w:type="page"/>
      </w:r>
    </w:p>
    <w:p w14:paraId="4129E0E9" w14:textId="056CFAB5"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2: Group Balance Sheet (£m)</w:t>
      </w:r>
    </w:p>
    <w:p w14:paraId="26D7D738" w14:textId="77777777" w:rsidR="00B51D2B" w:rsidRDefault="00B51D2B"/>
    <w:p w14:paraId="4444A8CE" w14:textId="77777777" w:rsidR="00B51D2B" w:rsidRDefault="00B51D2B"/>
    <w:p w14:paraId="190F011C" w14:textId="77777777" w:rsidR="00B51D2B" w:rsidRDefault="00B51D2B"/>
    <w:p w14:paraId="7294E2EC" w14:textId="77777777" w:rsidR="00B51D2B" w:rsidRDefault="00B51D2B"/>
    <w:p w14:paraId="2642271D" w14:textId="77777777" w:rsidR="00B51D2B" w:rsidRDefault="00B51D2B"/>
    <w:p w14:paraId="73FE4606" w14:textId="77777777" w:rsidR="00B51D2B" w:rsidRDefault="00B51D2B"/>
    <w:p w14:paraId="0362FF03" w14:textId="77777777" w:rsidR="00B51D2B" w:rsidRDefault="00B51D2B"/>
    <w:p w14:paraId="64A6F908" w14:textId="77777777" w:rsidR="00B51D2B" w:rsidRDefault="00B51D2B"/>
    <w:p w14:paraId="1D89598E" w14:textId="77777777" w:rsidR="00B51D2B" w:rsidRDefault="00B51D2B"/>
    <w:p w14:paraId="025D2EA8" w14:textId="77777777" w:rsidR="00B51D2B" w:rsidRDefault="00B51D2B"/>
    <w:p w14:paraId="115872D9" w14:textId="77777777" w:rsidR="00B51D2B" w:rsidRDefault="00B51D2B"/>
    <w:p w14:paraId="2CEF7A27" w14:textId="77777777" w:rsidR="00B51D2B" w:rsidRDefault="00B51D2B"/>
    <w:p w14:paraId="4FF28E34" w14:textId="77777777" w:rsidR="00B51D2B" w:rsidRDefault="00B51D2B"/>
    <w:p w14:paraId="4CC663EA" w14:textId="77777777" w:rsidR="00B51D2B" w:rsidRDefault="00B51D2B"/>
    <w:p w14:paraId="35AD422D" w14:textId="77777777" w:rsidR="00B51D2B" w:rsidRDefault="00B51D2B"/>
    <w:p w14:paraId="242F2803" w14:textId="77777777" w:rsidR="00B51D2B" w:rsidRDefault="00B51D2B"/>
    <w:p w14:paraId="76046C5C" w14:textId="77777777" w:rsidR="00B51D2B" w:rsidRDefault="00B51D2B"/>
    <w:p w14:paraId="6D582EFA" w14:textId="77777777" w:rsidR="00B51D2B" w:rsidRDefault="00B51D2B"/>
    <w:p w14:paraId="3BB2E561" w14:textId="77777777" w:rsidR="00B51D2B" w:rsidRDefault="00B51D2B"/>
    <w:p w14:paraId="516C9E40" w14:textId="77777777" w:rsidR="00B51D2B" w:rsidRDefault="00B51D2B"/>
    <w:p w14:paraId="46533164" w14:textId="77777777" w:rsidR="00B51D2B" w:rsidRDefault="00B51D2B"/>
    <w:p w14:paraId="48D6EA42" w14:textId="77777777" w:rsidR="00B51D2B" w:rsidRDefault="00B51D2B"/>
    <w:p w14:paraId="4213E80C" w14:textId="77777777" w:rsidR="00B51D2B" w:rsidRDefault="00B51D2B"/>
    <w:p w14:paraId="4833295B" w14:textId="77777777" w:rsidR="00B51D2B" w:rsidRDefault="00B51D2B"/>
    <w:p w14:paraId="6C7E9F0E" w14:textId="77777777" w:rsidR="00B51D2B" w:rsidRDefault="00B51D2B"/>
    <w:p w14:paraId="76E46DF9" w14:textId="77777777" w:rsidR="00B51D2B" w:rsidRDefault="00B51D2B"/>
    <w:p w14:paraId="7F56E0F6" w14:textId="77777777" w:rsidR="00B51D2B" w:rsidRPr="00B51D2B" w:rsidRDefault="00B51D2B" w:rsidP="00B51D2B">
      <w:pPr>
        <w:rPr>
          <w:rFonts w:ascii="Times New Roman" w:eastAsia="Times New Roman" w:hAnsi="Times New Roman" w:cs="Times New Roman"/>
          <w:lang w:eastAsia="en-GB"/>
        </w:rPr>
      </w:pPr>
      <w:r w:rsidRPr="00B51D2B">
        <w:rPr>
          <w:rFonts w:ascii="Arial" w:eastAsia="Times New Roman" w:hAnsi="Arial" w:cs="Arial"/>
          <w:color w:val="000000"/>
          <w:sz w:val="21"/>
          <w:szCs w:val="21"/>
          <w:shd w:val="clear" w:color="auto" w:fill="FFFFFF"/>
          <w:lang w:eastAsia="en-GB"/>
        </w:rPr>
        <w:t>The Group accounting policy for non-current assets is to recognise the asset at original cost, and to depreciate the asset over the useful economic life of the asset on a straight-line basis. On average 60% of property plant and equipment assets related to property assets.</w:t>
      </w:r>
    </w:p>
    <w:p w14:paraId="212281AF" w14:textId="77777777" w:rsidR="00B51D2B" w:rsidRDefault="00B51D2B"/>
    <w:p w14:paraId="748550DA" w14:textId="43013A33" w:rsidR="00B51D2B" w:rsidRDefault="00B51D2B">
      <w:r>
        <w:rPr>
          <w:noProof/>
        </w:rPr>
        <w:drawing>
          <wp:anchor distT="0" distB="0" distL="114300" distR="114300" simplePos="0" relativeHeight="251660288" behindDoc="0" locked="0" layoutInCell="1" allowOverlap="1" wp14:anchorId="5520C37A" wp14:editId="416834D8">
            <wp:simplePos x="0" y="0"/>
            <wp:positionH relativeFrom="column">
              <wp:posOffset>-376015</wp:posOffset>
            </wp:positionH>
            <wp:positionV relativeFrom="page">
              <wp:posOffset>1552575</wp:posOffset>
            </wp:positionV>
            <wp:extent cx="6884035" cy="4220845"/>
            <wp:effectExtent l="0" t="0" r="0" b="0"/>
            <wp:wrapNone/>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0-01-18 at 17.42.3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84035" cy="4220845"/>
                    </a:xfrm>
                    <a:prstGeom prst="rect">
                      <a:avLst/>
                    </a:prstGeom>
                  </pic:spPr>
                </pic:pic>
              </a:graphicData>
            </a:graphic>
            <wp14:sizeRelH relativeFrom="page">
              <wp14:pctWidth>0</wp14:pctWidth>
            </wp14:sizeRelH>
            <wp14:sizeRelV relativeFrom="page">
              <wp14:pctHeight>0</wp14:pctHeight>
            </wp14:sizeRelV>
          </wp:anchor>
        </w:drawing>
      </w:r>
      <w:r>
        <w:br w:type="page"/>
      </w:r>
    </w:p>
    <w:p w14:paraId="2A726327" w14:textId="77777777"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3: Analysis of the Child Toy Manufacturing Business (Multi-Currency)</w:t>
      </w:r>
    </w:p>
    <w:p w14:paraId="2486B12C" w14:textId="77777777" w:rsidR="00B51D2B" w:rsidRDefault="00B51D2B"/>
    <w:p w14:paraId="7F0951FF" w14:textId="77777777" w:rsidR="00B51D2B" w:rsidRDefault="00B51D2B"/>
    <w:p w14:paraId="24C6C268" w14:textId="77777777" w:rsidR="00B51D2B" w:rsidRDefault="00B51D2B"/>
    <w:p w14:paraId="051F0E43" w14:textId="77777777" w:rsidR="00B51D2B" w:rsidRDefault="00B51D2B"/>
    <w:p w14:paraId="35BF1B69" w14:textId="77777777" w:rsidR="00B51D2B" w:rsidRDefault="00B51D2B"/>
    <w:p w14:paraId="2168EC53" w14:textId="77777777" w:rsidR="00B51D2B" w:rsidRDefault="00B51D2B"/>
    <w:p w14:paraId="775D4F65" w14:textId="77777777" w:rsidR="00B51D2B" w:rsidRDefault="00B51D2B"/>
    <w:p w14:paraId="2BDBDD07" w14:textId="77777777" w:rsidR="00B51D2B" w:rsidRDefault="00B51D2B"/>
    <w:p w14:paraId="2423F3A1" w14:textId="77777777" w:rsidR="00B51D2B" w:rsidRDefault="00B51D2B"/>
    <w:p w14:paraId="291D4988" w14:textId="77777777" w:rsidR="00B51D2B" w:rsidRDefault="00B51D2B"/>
    <w:p w14:paraId="3E0E1944" w14:textId="77777777" w:rsidR="00B51D2B" w:rsidRDefault="00B51D2B"/>
    <w:p w14:paraId="2338AF10" w14:textId="77777777" w:rsidR="00B51D2B" w:rsidRDefault="00B51D2B"/>
    <w:p w14:paraId="41A7A5E8" w14:textId="77777777" w:rsidR="00B51D2B" w:rsidRDefault="00B51D2B"/>
    <w:p w14:paraId="768EA919" w14:textId="77777777" w:rsidR="00B51D2B" w:rsidRDefault="00B51D2B"/>
    <w:p w14:paraId="6B99BE56" w14:textId="77777777" w:rsidR="00B51D2B" w:rsidRDefault="00B51D2B"/>
    <w:p w14:paraId="08CC3C68" w14:textId="77777777" w:rsidR="00B51D2B" w:rsidRDefault="00B51D2B"/>
    <w:p w14:paraId="1A958544" w14:textId="77777777" w:rsidR="00B51D2B" w:rsidRDefault="00B51D2B"/>
    <w:p w14:paraId="568DCEFA" w14:textId="77777777" w:rsidR="00B51D2B" w:rsidRDefault="00B51D2B"/>
    <w:p w14:paraId="4CC5728C" w14:textId="77777777" w:rsidR="00B51D2B" w:rsidRDefault="00B51D2B"/>
    <w:p w14:paraId="195045B7" w14:textId="77777777" w:rsidR="00B51D2B" w:rsidRDefault="00B51D2B"/>
    <w:p w14:paraId="0CDCE717" w14:textId="77777777" w:rsidR="00B51D2B" w:rsidRDefault="00B51D2B"/>
    <w:p w14:paraId="60B233F6" w14:textId="77777777" w:rsidR="00B51D2B" w:rsidRDefault="00B51D2B"/>
    <w:p w14:paraId="66B9BF18" w14:textId="77777777" w:rsidR="00B51D2B" w:rsidRDefault="00B51D2B"/>
    <w:p w14:paraId="309EAA0C" w14:textId="77777777" w:rsidR="00B51D2B" w:rsidRDefault="00B51D2B"/>
    <w:p w14:paraId="402654F6" w14:textId="77777777" w:rsidR="00B51D2B" w:rsidRDefault="00B51D2B"/>
    <w:p w14:paraId="32CEF8E9" w14:textId="77777777" w:rsidR="00B51D2B" w:rsidRDefault="00B51D2B"/>
    <w:p w14:paraId="11B9E9E9" w14:textId="77777777" w:rsidR="00B51D2B" w:rsidRPr="00B51D2B" w:rsidRDefault="00B51D2B" w:rsidP="00B51D2B">
      <w:pPr>
        <w:rPr>
          <w:rFonts w:ascii="Times New Roman" w:eastAsia="Times New Roman" w:hAnsi="Times New Roman" w:cs="Times New Roman"/>
          <w:lang w:eastAsia="en-GB"/>
        </w:rPr>
      </w:pPr>
      <w:r w:rsidRPr="00B51D2B">
        <w:rPr>
          <w:rFonts w:ascii="Arial" w:eastAsia="Times New Roman" w:hAnsi="Arial" w:cs="Arial"/>
          <w:color w:val="000000"/>
          <w:sz w:val="21"/>
          <w:szCs w:val="21"/>
          <w:shd w:val="clear" w:color="auto" w:fill="FFFFFF"/>
          <w:lang w:eastAsia="en-GB"/>
        </w:rPr>
        <w:t>Any interest expense incurred in this business segment relates to the finance cost associated with the overdraft facility.</w:t>
      </w:r>
    </w:p>
    <w:p w14:paraId="5A5B2F2D" w14:textId="1996372A" w:rsidR="00B51D2B" w:rsidRDefault="00B51D2B">
      <w:r>
        <w:rPr>
          <w:noProof/>
        </w:rPr>
        <w:drawing>
          <wp:anchor distT="0" distB="0" distL="114300" distR="114300" simplePos="0" relativeHeight="251661312" behindDoc="0" locked="0" layoutInCell="1" allowOverlap="1" wp14:anchorId="443E7F49" wp14:editId="705CD83D">
            <wp:simplePos x="0" y="0"/>
            <wp:positionH relativeFrom="column">
              <wp:posOffset>-504202</wp:posOffset>
            </wp:positionH>
            <wp:positionV relativeFrom="page">
              <wp:posOffset>1537335</wp:posOffset>
            </wp:positionV>
            <wp:extent cx="6784340" cy="4537710"/>
            <wp:effectExtent l="0" t="0" r="0" b="0"/>
            <wp:wrapNone/>
            <wp:docPr id="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 2020-01-18 at 17.45.3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84340" cy="4537710"/>
                    </a:xfrm>
                    <a:prstGeom prst="rect">
                      <a:avLst/>
                    </a:prstGeom>
                  </pic:spPr>
                </pic:pic>
              </a:graphicData>
            </a:graphic>
            <wp14:sizeRelH relativeFrom="page">
              <wp14:pctWidth>0</wp14:pctWidth>
            </wp14:sizeRelH>
            <wp14:sizeRelV relativeFrom="page">
              <wp14:pctHeight>0</wp14:pctHeight>
            </wp14:sizeRelV>
          </wp:anchor>
        </w:drawing>
      </w:r>
      <w:r>
        <w:br w:type="page"/>
      </w:r>
    </w:p>
    <w:p w14:paraId="2BB9D702" w14:textId="77777777"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4: Group Structure</w:t>
      </w:r>
    </w:p>
    <w:p w14:paraId="2709970D" w14:textId="137A3F2C" w:rsidR="00B51D2B" w:rsidRDefault="00B51D2B"/>
    <w:p w14:paraId="1D4AF9F8" w14:textId="1FF20FBB" w:rsidR="00B51D2B" w:rsidRPr="00B51D2B" w:rsidRDefault="00B51D2B" w:rsidP="00B51D2B">
      <w:pPr>
        <w:rPr>
          <w:rFonts w:ascii="Times New Roman" w:eastAsia="Times New Roman" w:hAnsi="Times New Roman" w:cs="Times New Roman"/>
          <w:lang w:eastAsia="en-GB"/>
        </w:rPr>
      </w:pPr>
      <w:r w:rsidRPr="00B51D2B">
        <w:rPr>
          <w:rFonts w:ascii="Times New Roman" w:eastAsia="Times New Roman" w:hAnsi="Times New Roman" w:cs="Times New Roman"/>
          <w:lang w:eastAsia="en-GB"/>
        </w:rPr>
        <w:fldChar w:fldCharType="begin"/>
      </w:r>
      <w:r w:rsidRPr="00B51D2B">
        <w:rPr>
          <w:rFonts w:ascii="Times New Roman" w:eastAsia="Times New Roman" w:hAnsi="Times New Roman" w:cs="Times New Roman"/>
          <w:lang w:eastAsia="en-GB"/>
        </w:rPr>
        <w:instrText xml:space="preserve"> INCLUDEPICTURE "/var/folders/yg/svtmm8nj4wd9rglnwhwvn5kr0000gn/T/com.microsoft.Word/WebArchiveCopyPasteTempFiles/b392_17j_tma02_fig01.eps.jpg" \* MERGEFORMATINET </w:instrText>
      </w:r>
      <w:r w:rsidRPr="00B51D2B">
        <w:rPr>
          <w:rFonts w:ascii="Times New Roman" w:eastAsia="Times New Roman" w:hAnsi="Times New Roman" w:cs="Times New Roman"/>
          <w:lang w:eastAsia="en-GB"/>
        </w:rPr>
        <w:fldChar w:fldCharType="separate"/>
      </w:r>
      <w:r w:rsidRPr="00B51D2B">
        <w:rPr>
          <w:rFonts w:ascii="Times New Roman" w:eastAsia="Times New Roman" w:hAnsi="Times New Roman" w:cs="Times New Roman"/>
          <w:noProof/>
          <w:lang w:eastAsia="en-GB"/>
        </w:rPr>
        <w:drawing>
          <wp:inline distT="0" distB="0" distL="0" distR="0" wp14:anchorId="009989E0" wp14:editId="75D5A399">
            <wp:extent cx="5727700" cy="2581275"/>
            <wp:effectExtent l="0" t="0" r="0" b="0"/>
            <wp:docPr id="6" name="Picture 6" descr="Describ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b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2581275"/>
                    </a:xfrm>
                    <a:prstGeom prst="rect">
                      <a:avLst/>
                    </a:prstGeom>
                    <a:noFill/>
                    <a:ln>
                      <a:noFill/>
                    </a:ln>
                  </pic:spPr>
                </pic:pic>
              </a:graphicData>
            </a:graphic>
          </wp:inline>
        </w:drawing>
      </w:r>
      <w:r w:rsidRPr="00B51D2B">
        <w:rPr>
          <w:rFonts w:ascii="Times New Roman" w:eastAsia="Times New Roman" w:hAnsi="Times New Roman" w:cs="Times New Roman"/>
          <w:lang w:eastAsia="en-GB"/>
        </w:rPr>
        <w:fldChar w:fldCharType="end"/>
      </w:r>
    </w:p>
    <w:p w14:paraId="53D62D7C" w14:textId="77777777" w:rsidR="00B51D2B" w:rsidRDefault="00B51D2B"/>
    <w:p w14:paraId="0129E666" w14:textId="3F789818" w:rsidR="00B51D2B" w:rsidRDefault="00B51D2B"/>
    <w:p w14:paraId="106F9DAD" w14:textId="77777777" w:rsidR="00B51D2B" w:rsidRDefault="00B51D2B"/>
    <w:p w14:paraId="32659010" w14:textId="77777777" w:rsidR="00B51D2B" w:rsidRDefault="00B51D2B">
      <w:r>
        <w:br w:type="page"/>
      </w:r>
    </w:p>
    <w:p w14:paraId="1A063024" w14:textId="77777777"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5: Bank Responses to Loan Facility Tender</w:t>
      </w:r>
    </w:p>
    <w:p w14:paraId="7A718434"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Fusion Property UK issued an invitation to the </w:t>
      </w:r>
      <w:proofErr w:type="gramStart"/>
      <w:r>
        <w:rPr>
          <w:rFonts w:ascii="Arial" w:hAnsi="Arial" w:cs="Arial"/>
          <w:color w:val="000000"/>
          <w:sz w:val="21"/>
          <w:szCs w:val="21"/>
        </w:rPr>
        <w:t>market place</w:t>
      </w:r>
      <w:proofErr w:type="gramEnd"/>
      <w:r>
        <w:rPr>
          <w:rFonts w:ascii="Arial" w:hAnsi="Arial" w:cs="Arial"/>
          <w:color w:val="000000"/>
          <w:sz w:val="21"/>
          <w:szCs w:val="21"/>
        </w:rPr>
        <w:t xml:space="preserve"> as it seeks to raise £250m in fresh capital to expand the business. The following three proposals have been received back by the cut-off date.</w:t>
      </w:r>
    </w:p>
    <w:tbl>
      <w:tblPr>
        <w:tblW w:w="8520" w:type="dxa"/>
        <w:tblCellMar>
          <w:top w:w="15" w:type="dxa"/>
          <w:left w:w="15" w:type="dxa"/>
          <w:bottom w:w="15" w:type="dxa"/>
          <w:right w:w="15" w:type="dxa"/>
        </w:tblCellMar>
        <w:tblLook w:val="04A0" w:firstRow="1" w:lastRow="0" w:firstColumn="1" w:lastColumn="0" w:noHBand="0" w:noVBand="1"/>
      </w:tblPr>
      <w:tblGrid>
        <w:gridCol w:w="2921"/>
        <w:gridCol w:w="2684"/>
        <w:gridCol w:w="1420"/>
        <w:gridCol w:w="1495"/>
      </w:tblGrid>
      <w:tr w:rsidR="00B51D2B" w14:paraId="7E61C9A6" w14:textId="77777777" w:rsidTr="00B51D2B">
        <w:tc>
          <w:tcPr>
            <w:tcW w:w="0" w:type="auto"/>
            <w:tcBorders>
              <w:top w:val="nil"/>
              <w:left w:val="nil"/>
              <w:bottom w:val="nil"/>
              <w:right w:val="nil"/>
            </w:tcBorders>
            <w:tcMar>
              <w:top w:w="150" w:type="dxa"/>
              <w:left w:w="225" w:type="dxa"/>
              <w:bottom w:w="135" w:type="dxa"/>
              <w:right w:w="150" w:type="dxa"/>
            </w:tcMar>
            <w:hideMark/>
          </w:tcPr>
          <w:p w14:paraId="6FE9C8C2" w14:textId="77777777" w:rsidR="00B51D2B" w:rsidRDefault="00B51D2B">
            <w:pPr>
              <w:rPr>
                <w:rFonts w:ascii="Times New Roman" w:hAnsi="Times New Roman" w:cs="Times New Roman"/>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76C79CB4" w14:textId="77777777" w:rsidR="00B51D2B" w:rsidRDefault="00B51D2B">
            <w:pPr>
              <w:rPr>
                <w:color w:val="000000"/>
              </w:rPr>
            </w:pPr>
            <w:r>
              <w:rPr>
                <w:color w:val="000000"/>
              </w:rPr>
              <w:t>Proposal 1</w:t>
            </w:r>
          </w:p>
        </w:tc>
        <w:tc>
          <w:tcPr>
            <w:tcW w:w="0" w:type="auto"/>
            <w:tcBorders>
              <w:top w:val="nil"/>
              <w:left w:val="nil"/>
              <w:bottom w:val="nil"/>
              <w:right w:val="nil"/>
            </w:tcBorders>
            <w:tcMar>
              <w:top w:w="150" w:type="dxa"/>
              <w:left w:w="150" w:type="dxa"/>
              <w:bottom w:w="135" w:type="dxa"/>
              <w:right w:w="150" w:type="dxa"/>
            </w:tcMar>
            <w:hideMark/>
          </w:tcPr>
          <w:p w14:paraId="62D3AAB0" w14:textId="77777777" w:rsidR="00B51D2B" w:rsidRDefault="00B51D2B">
            <w:pPr>
              <w:rPr>
                <w:color w:val="000000"/>
              </w:rPr>
            </w:pPr>
            <w:r>
              <w:rPr>
                <w:color w:val="000000"/>
              </w:rPr>
              <w:t>Proposal 2</w:t>
            </w:r>
          </w:p>
        </w:tc>
        <w:tc>
          <w:tcPr>
            <w:tcW w:w="0" w:type="auto"/>
            <w:tcBorders>
              <w:top w:val="nil"/>
              <w:left w:val="nil"/>
              <w:bottom w:val="nil"/>
              <w:right w:val="nil"/>
            </w:tcBorders>
            <w:tcMar>
              <w:top w:w="150" w:type="dxa"/>
              <w:left w:w="150" w:type="dxa"/>
              <w:bottom w:w="135" w:type="dxa"/>
              <w:right w:w="225" w:type="dxa"/>
            </w:tcMar>
            <w:hideMark/>
          </w:tcPr>
          <w:p w14:paraId="6D48012B" w14:textId="77777777" w:rsidR="00B51D2B" w:rsidRDefault="00B51D2B">
            <w:pPr>
              <w:rPr>
                <w:color w:val="000000"/>
              </w:rPr>
            </w:pPr>
            <w:r>
              <w:rPr>
                <w:color w:val="000000"/>
              </w:rPr>
              <w:t>Proposal 3</w:t>
            </w:r>
          </w:p>
        </w:tc>
      </w:tr>
      <w:tr w:rsidR="00B51D2B" w14:paraId="6539187B" w14:textId="77777777" w:rsidTr="00B51D2B">
        <w:tc>
          <w:tcPr>
            <w:tcW w:w="0" w:type="auto"/>
            <w:tcBorders>
              <w:top w:val="nil"/>
              <w:left w:val="nil"/>
              <w:bottom w:val="nil"/>
              <w:right w:val="nil"/>
            </w:tcBorders>
            <w:tcMar>
              <w:top w:w="150" w:type="dxa"/>
              <w:left w:w="225" w:type="dxa"/>
              <w:bottom w:w="135" w:type="dxa"/>
              <w:right w:w="150" w:type="dxa"/>
            </w:tcMar>
            <w:hideMark/>
          </w:tcPr>
          <w:p w14:paraId="0881EF67"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7BC9ECE6" w14:textId="77777777" w:rsidR="00B51D2B" w:rsidRDefault="00B51D2B">
            <w:pPr>
              <w:rPr>
                <w:color w:val="000000"/>
              </w:rPr>
            </w:pPr>
            <w:r>
              <w:rPr>
                <w:color w:val="000000"/>
              </w:rPr>
              <w:t>Bank 1</w:t>
            </w:r>
          </w:p>
        </w:tc>
        <w:tc>
          <w:tcPr>
            <w:tcW w:w="0" w:type="auto"/>
            <w:tcBorders>
              <w:top w:val="nil"/>
              <w:left w:val="nil"/>
              <w:bottom w:val="nil"/>
              <w:right w:val="nil"/>
            </w:tcBorders>
            <w:tcMar>
              <w:top w:w="150" w:type="dxa"/>
              <w:left w:w="150" w:type="dxa"/>
              <w:bottom w:w="135" w:type="dxa"/>
              <w:right w:w="150" w:type="dxa"/>
            </w:tcMar>
            <w:hideMark/>
          </w:tcPr>
          <w:p w14:paraId="0C923363" w14:textId="77777777" w:rsidR="00B51D2B" w:rsidRDefault="00B51D2B">
            <w:pPr>
              <w:rPr>
                <w:color w:val="000000"/>
              </w:rPr>
            </w:pPr>
            <w:r>
              <w:rPr>
                <w:color w:val="000000"/>
              </w:rPr>
              <w:t>Bank 2</w:t>
            </w:r>
          </w:p>
        </w:tc>
        <w:tc>
          <w:tcPr>
            <w:tcW w:w="0" w:type="auto"/>
            <w:tcBorders>
              <w:top w:val="nil"/>
              <w:left w:val="nil"/>
              <w:bottom w:val="nil"/>
              <w:right w:val="nil"/>
            </w:tcBorders>
            <w:tcMar>
              <w:top w:w="150" w:type="dxa"/>
              <w:left w:w="150" w:type="dxa"/>
              <w:bottom w:w="135" w:type="dxa"/>
              <w:right w:w="225" w:type="dxa"/>
            </w:tcMar>
            <w:hideMark/>
          </w:tcPr>
          <w:p w14:paraId="5FCA0BF1" w14:textId="77777777" w:rsidR="00B51D2B" w:rsidRDefault="00B51D2B">
            <w:pPr>
              <w:rPr>
                <w:color w:val="000000"/>
              </w:rPr>
            </w:pPr>
            <w:r>
              <w:rPr>
                <w:color w:val="000000"/>
              </w:rPr>
              <w:t>Bank 3</w:t>
            </w:r>
          </w:p>
        </w:tc>
      </w:tr>
      <w:tr w:rsidR="00B51D2B" w14:paraId="71C26A29" w14:textId="77777777" w:rsidTr="00B51D2B">
        <w:tc>
          <w:tcPr>
            <w:tcW w:w="0" w:type="auto"/>
            <w:tcBorders>
              <w:top w:val="nil"/>
              <w:left w:val="nil"/>
              <w:bottom w:val="nil"/>
              <w:right w:val="nil"/>
            </w:tcBorders>
            <w:tcMar>
              <w:top w:w="150" w:type="dxa"/>
              <w:left w:w="225" w:type="dxa"/>
              <w:bottom w:w="135" w:type="dxa"/>
              <w:right w:w="150" w:type="dxa"/>
            </w:tcMar>
            <w:hideMark/>
          </w:tcPr>
          <w:p w14:paraId="5A6D1128" w14:textId="77777777" w:rsidR="00B51D2B" w:rsidRDefault="00B51D2B">
            <w:pPr>
              <w:rPr>
                <w:color w:val="000000"/>
              </w:rPr>
            </w:pPr>
            <w:r>
              <w:rPr>
                <w:color w:val="000000"/>
              </w:rPr>
              <w:t>Borrow Amount (£m)</w:t>
            </w:r>
          </w:p>
        </w:tc>
        <w:tc>
          <w:tcPr>
            <w:tcW w:w="0" w:type="auto"/>
            <w:tcBorders>
              <w:top w:val="nil"/>
              <w:left w:val="nil"/>
              <w:bottom w:val="nil"/>
              <w:right w:val="nil"/>
            </w:tcBorders>
            <w:tcMar>
              <w:top w:w="150" w:type="dxa"/>
              <w:left w:w="150" w:type="dxa"/>
              <w:bottom w:w="135" w:type="dxa"/>
              <w:right w:w="150" w:type="dxa"/>
            </w:tcMar>
            <w:hideMark/>
          </w:tcPr>
          <w:p w14:paraId="253809A5" w14:textId="77777777" w:rsidR="00B51D2B" w:rsidRDefault="00B51D2B">
            <w:pPr>
              <w:rPr>
                <w:color w:val="000000"/>
              </w:rPr>
            </w:pPr>
            <w:r>
              <w:rPr>
                <w:color w:val="000000"/>
              </w:rPr>
              <w:t>250m</w:t>
            </w:r>
          </w:p>
        </w:tc>
        <w:tc>
          <w:tcPr>
            <w:tcW w:w="0" w:type="auto"/>
            <w:tcBorders>
              <w:top w:val="nil"/>
              <w:left w:val="nil"/>
              <w:bottom w:val="nil"/>
              <w:right w:val="nil"/>
            </w:tcBorders>
            <w:tcMar>
              <w:top w:w="150" w:type="dxa"/>
              <w:left w:w="150" w:type="dxa"/>
              <w:bottom w:w="135" w:type="dxa"/>
              <w:right w:w="150" w:type="dxa"/>
            </w:tcMar>
            <w:hideMark/>
          </w:tcPr>
          <w:p w14:paraId="71D6B7CF" w14:textId="77777777" w:rsidR="00B51D2B" w:rsidRDefault="00B51D2B">
            <w:pPr>
              <w:rPr>
                <w:color w:val="000000"/>
              </w:rPr>
            </w:pPr>
            <w:r>
              <w:rPr>
                <w:color w:val="000000"/>
              </w:rPr>
              <w:t>250m</w:t>
            </w:r>
          </w:p>
        </w:tc>
        <w:tc>
          <w:tcPr>
            <w:tcW w:w="0" w:type="auto"/>
            <w:tcBorders>
              <w:top w:val="nil"/>
              <w:left w:val="nil"/>
              <w:bottom w:val="nil"/>
              <w:right w:val="nil"/>
            </w:tcBorders>
            <w:tcMar>
              <w:top w:w="150" w:type="dxa"/>
              <w:left w:w="150" w:type="dxa"/>
              <w:bottom w:w="135" w:type="dxa"/>
              <w:right w:w="225" w:type="dxa"/>
            </w:tcMar>
            <w:hideMark/>
          </w:tcPr>
          <w:p w14:paraId="55567B3B" w14:textId="77777777" w:rsidR="00B51D2B" w:rsidRDefault="00B51D2B">
            <w:pPr>
              <w:rPr>
                <w:color w:val="000000"/>
              </w:rPr>
            </w:pPr>
            <w:r>
              <w:rPr>
                <w:color w:val="000000"/>
              </w:rPr>
              <w:t>250m</w:t>
            </w:r>
          </w:p>
        </w:tc>
      </w:tr>
      <w:tr w:rsidR="00B51D2B" w14:paraId="7DE99DDD" w14:textId="77777777" w:rsidTr="00B51D2B">
        <w:tc>
          <w:tcPr>
            <w:tcW w:w="0" w:type="auto"/>
            <w:tcBorders>
              <w:top w:val="nil"/>
              <w:left w:val="nil"/>
              <w:bottom w:val="nil"/>
              <w:right w:val="nil"/>
            </w:tcBorders>
            <w:tcMar>
              <w:top w:w="150" w:type="dxa"/>
              <w:left w:w="225" w:type="dxa"/>
              <w:bottom w:w="135" w:type="dxa"/>
              <w:right w:w="150" w:type="dxa"/>
            </w:tcMar>
            <w:hideMark/>
          </w:tcPr>
          <w:p w14:paraId="4A6F9E08" w14:textId="77777777" w:rsidR="00B51D2B" w:rsidRDefault="00B51D2B">
            <w:pPr>
              <w:rPr>
                <w:color w:val="000000"/>
              </w:rPr>
            </w:pPr>
            <w:r>
              <w:rPr>
                <w:b/>
                <w:bCs/>
                <w:color w:val="000000"/>
              </w:rPr>
              <w:t>LTV</w:t>
            </w:r>
            <w:r>
              <w:rPr>
                <w:rStyle w:val="apple-converted-space"/>
                <w:color w:val="000000"/>
              </w:rPr>
              <w:t> </w:t>
            </w:r>
            <w:r>
              <w:rPr>
                <w:color w:val="000000"/>
              </w:rPr>
              <w:t>less than or equal to</w:t>
            </w:r>
          </w:p>
        </w:tc>
        <w:tc>
          <w:tcPr>
            <w:tcW w:w="0" w:type="auto"/>
            <w:tcBorders>
              <w:top w:val="nil"/>
              <w:left w:val="nil"/>
              <w:bottom w:val="nil"/>
              <w:right w:val="nil"/>
            </w:tcBorders>
            <w:tcMar>
              <w:top w:w="150" w:type="dxa"/>
              <w:left w:w="150" w:type="dxa"/>
              <w:bottom w:w="135" w:type="dxa"/>
              <w:right w:w="150" w:type="dxa"/>
            </w:tcMar>
            <w:hideMark/>
          </w:tcPr>
          <w:p w14:paraId="370E6B8E" w14:textId="77777777" w:rsidR="00B51D2B" w:rsidRDefault="00B51D2B">
            <w:pPr>
              <w:rPr>
                <w:color w:val="000000"/>
              </w:rPr>
            </w:pPr>
            <w:r>
              <w:rPr>
                <w:color w:val="000000"/>
              </w:rPr>
              <w:t>50%</w:t>
            </w:r>
          </w:p>
        </w:tc>
        <w:tc>
          <w:tcPr>
            <w:tcW w:w="0" w:type="auto"/>
            <w:tcBorders>
              <w:top w:val="nil"/>
              <w:left w:val="nil"/>
              <w:bottom w:val="nil"/>
              <w:right w:val="nil"/>
            </w:tcBorders>
            <w:tcMar>
              <w:top w:w="150" w:type="dxa"/>
              <w:left w:w="150" w:type="dxa"/>
              <w:bottom w:w="135" w:type="dxa"/>
              <w:right w:w="150" w:type="dxa"/>
            </w:tcMar>
            <w:hideMark/>
          </w:tcPr>
          <w:p w14:paraId="3F40E779" w14:textId="77777777" w:rsidR="00B51D2B" w:rsidRDefault="00B51D2B">
            <w:pPr>
              <w:rPr>
                <w:color w:val="000000"/>
              </w:rPr>
            </w:pPr>
            <w:r>
              <w:rPr>
                <w:color w:val="000000"/>
              </w:rPr>
              <w:t>55%</w:t>
            </w:r>
          </w:p>
        </w:tc>
        <w:tc>
          <w:tcPr>
            <w:tcW w:w="0" w:type="auto"/>
            <w:tcBorders>
              <w:top w:val="nil"/>
              <w:left w:val="nil"/>
              <w:bottom w:val="nil"/>
              <w:right w:val="nil"/>
            </w:tcBorders>
            <w:tcMar>
              <w:top w:w="150" w:type="dxa"/>
              <w:left w:w="150" w:type="dxa"/>
              <w:bottom w:w="135" w:type="dxa"/>
              <w:right w:w="225" w:type="dxa"/>
            </w:tcMar>
            <w:hideMark/>
          </w:tcPr>
          <w:p w14:paraId="37FCF256" w14:textId="77777777" w:rsidR="00B51D2B" w:rsidRDefault="00B51D2B">
            <w:pPr>
              <w:rPr>
                <w:color w:val="000000"/>
              </w:rPr>
            </w:pPr>
            <w:r>
              <w:rPr>
                <w:color w:val="000000"/>
              </w:rPr>
              <w:t>85%</w:t>
            </w:r>
          </w:p>
        </w:tc>
      </w:tr>
      <w:tr w:rsidR="00B51D2B" w14:paraId="24CF3A3C" w14:textId="77777777" w:rsidTr="00B51D2B">
        <w:tc>
          <w:tcPr>
            <w:tcW w:w="0" w:type="auto"/>
            <w:tcBorders>
              <w:top w:val="nil"/>
              <w:left w:val="nil"/>
              <w:bottom w:val="nil"/>
              <w:right w:val="nil"/>
            </w:tcBorders>
            <w:tcMar>
              <w:top w:w="150" w:type="dxa"/>
              <w:left w:w="225" w:type="dxa"/>
              <w:bottom w:w="135" w:type="dxa"/>
              <w:right w:w="150" w:type="dxa"/>
            </w:tcMar>
            <w:hideMark/>
          </w:tcPr>
          <w:p w14:paraId="065A1236" w14:textId="77777777" w:rsidR="00B51D2B" w:rsidRDefault="00B51D2B">
            <w:pPr>
              <w:rPr>
                <w:color w:val="000000"/>
              </w:rPr>
            </w:pPr>
            <w:r>
              <w:rPr>
                <w:color w:val="000000"/>
              </w:rPr>
              <w:t>Security (Collateral) required by lender</w:t>
            </w:r>
          </w:p>
        </w:tc>
        <w:tc>
          <w:tcPr>
            <w:tcW w:w="0" w:type="auto"/>
            <w:tcBorders>
              <w:top w:val="nil"/>
              <w:left w:val="nil"/>
              <w:bottom w:val="nil"/>
              <w:right w:val="nil"/>
            </w:tcBorders>
            <w:tcMar>
              <w:top w:w="150" w:type="dxa"/>
              <w:left w:w="150" w:type="dxa"/>
              <w:bottom w:w="135" w:type="dxa"/>
              <w:right w:w="150" w:type="dxa"/>
            </w:tcMar>
            <w:hideMark/>
          </w:tcPr>
          <w:p w14:paraId="48795CE3" w14:textId="77777777" w:rsidR="00B51D2B" w:rsidRDefault="00B51D2B">
            <w:pPr>
              <w:rPr>
                <w:color w:val="000000"/>
              </w:rPr>
            </w:pPr>
            <w:r>
              <w:rPr>
                <w:color w:val="000000"/>
              </w:rPr>
              <w:t>Asset</w:t>
            </w:r>
          </w:p>
        </w:tc>
        <w:tc>
          <w:tcPr>
            <w:tcW w:w="0" w:type="auto"/>
            <w:tcBorders>
              <w:top w:val="nil"/>
              <w:left w:val="nil"/>
              <w:bottom w:val="nil"/>
              <w:right w:val="nil"/>
            </w:tcBorders>
            <w:tcMar>
              <w:top w:w="150" w:type="dxa"/>
              <w:left w:w="150" w:type="dxa"/>
              <w:bottom w:w="135" w:type="dxa"/>
              <w:right w:w="150" w:type="dxa"/>
            </w:tcMar>
            <w:hideMark/>
          </w:tcPr>
          <w:p w14:paraId="72ED3DF0" w14:textId="77777777" w:rsidR="00B51D2B" w:rsidRDefault="00B51D2B">
            <w:pPr>
              <w:rPr>
                <w:color w:val="000000"/>
              </w:rPr>
            </w:pPr>
            <w:r>
              <w:rPr>
                <w:color w:val="000000"/>
              </w:rPr>
              <w:t>Asset</w:t>
            </w:r>
          </w:p>
        </w:tc>
        <w:tc>
          <w:tcPr>
            <w:tcW w:w="0" w:type="auto"/>
            <w:tcBorders>
              <w:top w:val="nil"/>
              <w:left w:val="nil"/>
              <w:bottom w:val="nil"/>
              <w:right w:val="nil"/>
            </w:tcBorders>
            <w:tcMar>
              <w:top w:w="150" w:type="dxa"/>
              <w:left w:w="150" w:type="dxa"/>
              <w:bottom w:w="135" w:type="dxa"/>
              <w:right w:w="225" w:type="dxa"/>
            </w:tcMar>
            <w:hideMark/>
          </w:tcPr>
          <w:p w14:paraId="126E195A" w14:textId="77777777" w:rsidR="00B51D2B" w:rsidRDefault="00B51D2B">
            <w:pPr>
              <w:rPr>
                <w:color w:val="000000"/>
              </w:rPr>
            </w:pPr>
            <w:r>
              <w:rPr>
                <w:color w:val="000000"/>
              </w:rPr>
              <w:t>Asset</w:t>
            </w:r>
          </w:p>
        </w:tc>
      </w:tr>
      <w:tr w:rsidR="00B51D2B" w14:paraId="0DA12667" w14:textId="77777777" w:rsidTr="00B51D2B">
        <w:tc>
          <w:tcPr>
            <w:tcW w:w="0" w:type="auto"/>
            <w:tcBorders>
              <w:top w:val="nil"/>
              <w:left w:val="nil"/>
              <w:bottom w:val="nil"/>
              <w:right w:val="nil"/>
            </w:tcBorders>
            <w:tcMar>
              <w:top w:w="150" w:type="dxa"/>
              <w:left w:w="225" w:type="dxa"/>
              <w:bottom w:w="135" w:type="dxa"/>
              <w:right w:w="150" w:type="dxa"/>
            </w:tcMar>
            <w:hideMark/>
          </w:tcPr>
          <w:p w14:paraId="3CF9CD8A" w14:textId="77777777" w:rsidR="00B51D2B" w:rsidRDefault="00B51D2B">
            <w:pPr>
              <w:rPr>
                <w:color w:val="000000"/>
              </w:rPr>
            </w:pPr>
            <w:r>
              <w:rPr>
                <w:color w:val="000000"/>
              </w:rPr>
              <w:t>Libor +</w:t>
            </w:r>
            <w:r>
              <w:rPr>
                <w:rStyle w:val="apple-converted-space"/>
                <w:color w:val="000000"/>
              </w:rPr>
              <w:t> </w:t>
            </w:r>
            <w:r>
              <w:rPr>
                <w:i/>
                <w:iCs/>
                <w:color w:val="000000"/>
              </w:rPr>
              <w:t>(Assume LIBOR 1%)</w:t>
            </w:r>
          </w:p>
        </w:tc>
        <w:tc>
          <w:tcPr>
            <w:tcW w:w="0" w:type="auto"/>
            <w:tcBorders>
              <w:top w:val="nil"/>
              <w:left w:val="nil"/>
              <w:bottom w:val="nil"/>
              <w:right w:val="nil"/>
            </w:tcBorders>
            <w:tcMar>
              <w:top w:w="150" w:type="dxa"/>
              <w:left w:w="150" w:type="dxa"/>
              <w:bottom w:w="135" w:type="dxa"/>
              <w:right w:w="150" w:type="dxa"/>
            </w:tcMar>
            <w:hideMark/>
          </w:tcPr>
          <w:p w14:paraId="564EF462" w14:textId="77777777" w:rsidR="00B51D2B" w:rsidRDefault="00B51D2B">
            <w:pPr>
              <w:rPr>
                <w:color w:val="000000"/>
              </w:rPr>
            </w:pPr>
            <w:r>
              <w:rPr>
                <w:color w:val="000000"/>
              </w:rPr>
              <w:t>400</w:t>
            </w:r>
            <w:r>
              <w:rPr>
                <w:b/>
                <w:bCs/>
                <w:color w:val="000000"/>
              </w:rPr>
              <w:t>bps</w:t>
            </w:r>
          </w:p>
        </w:tc>
        <w:tc>
          <w:tcPr>
            <w:tcW w:w="0" w:type="auto"/>
            <w:tcBorders>
              <w:top w:val="nil"/>
              <w:left w:val="nil"/>
              <w:bottom w:val="nil"/>
              <w:right w:val="nil"/>
            </w:tcBorders>
            <w:tcMar>
              <w:top w:w="150" w:type="dxa"/>
              <w:left w:w="150" w:type="dxa"/>
              <w:bottom w:w="135" w:type="dxa"/>
              <w:right w:w="150" w:type="dxa"/>
            </w:tcMar>
            <w:hideMark/>
          </w:tcPr>
          <w:p w14:paraId="2E0237DB" w14:textId="77777777" w:rsidR="00B51D2B" w:rsidRDefault="00B51D2B">
            <w:pPr>
              <w:rPr>
                <w:color w:val="000000"/>
              </w:rPr>
            </w:pPr>
            <w:r>
              <w:rPr>
                <w:color w:val="000000"/>
              </w:rPr>
              <w:t>425</w:t>
            </w:r>
            <w:r>
              <w:rPr>
                <w:b/>
                <w:bCs/>
                <w:color w:val="000000"/>
              </w:rPr>
              <w:t>bps</w:t>
            </w:r>
          </w:p>
        </w:tc>
        <w:tc>
          <w:tcPr>
            <w:tcW w:w="0" w:type="auto"/>
            <w:tcBorders>
              <w:top w:val="nil"/>
              <w:left w:val="nil"/>
              <w:bottom w:val="nil"/>
              <w:right w:val="nil"/>
            </w:tcBorders>
            <w:tcMar>
              <w:top w:w="150" w:type="dxa"/>
              <w:left w:w="150" w:type="dxa"/>
              <w:bottom w:w="135" w:type="dxa"/>
              <w:right w:w="225" w:type="dxa"/>
            </w:tcMar>
            <w:hideMark/>
          </w:tcPr>
          <w:p w14:paraId="2625A7C0" w14:textId="77777777" w:rsidR="00B51D2B" w:rsidRDefault="00B51D2B">
            <w:pPr>
              <w:rPr>
                <w:color w:val="000000"/>
              </w:rPr>
            </w:pPr>
            <w:r>
              <w:rPr>
                <w:color w:val="000000"/>
              </w:rPr>
              <w:t>450</w:t>
            </w:r>
            <w:r>
              <w:rPr>
                <w:b/>
                <w:bCs/>
                <w:color w:val="000000"/>
              </w:rPr>
              <w:t>bps</w:t>
            </w:r>
          </w:p>
        </w:tc>
      </w:tr>
      <w:tr w:rsidR="00B51D2B" w14:paraId="3BB37EEB" w14:textId="77777777" w:rsidTr="00B51D2B">
        <w:tc>
          <w:tcPr>
            <w:tcW w:w="0" w:type="auto"/>
            <w:tcBorders>
              <w:top w:val="nil"/>
              <w:left w:val="nil"/>
              <w:bottom w:val="nil"/>
              <w:right w:val="nil"/>
            </w:tcBorders>
            <w:tcMar>
              <w:top w:w="150" w:type="dxa"/>
              <w:left w:w="225" w:type="dxa"/>
              <w:bottom w:w="135" w:type="dxa"/>
              <w:right w:w="150" w:type="dxa"/>
            </w:tcMar>
            <w:hideMark/>
          </w:tcPr>
          <w:p w14:paraId="7A4AF2FD" w14:textId="77777777" w:rsidR="00B51D2B" w:rsidRDefault="00B51D2B">
            <w:pPr>
              <w:rPr>
                <w:color w:val="000000"/>
              </w:rPr>
            </w:pPr>
            <w:r>
              <w:rPr>
                <w:color w:val="000000"/>
              </w:rPr>
              <w:t>Covenant - Gearing</w:t>
            </w:r>
            <w:hyperlink r:id="rId10" w:anchor="footnote-2" w:history="1">
              <w:r>
                <w:rPr>
                  <w:rStyle w:val="Hyperlink"/>
                  <w:color w:val="0B55A8"/>
                  <w:sz w:val="15"/>
                  <w:szCs w:val="15"/>
                  <w:vertAlign w:val="superscript"/>
                </w:rPr>
                <w:t>2</w:t>
              </w:r>
            </w:hyperlink>
            <w:r>
              <w:rPr>
                <w:rStyle w:val="apple-converted-space"/>
                <w:color w:val="000000"/>
              </w:rPr>
              <w:t> </w:t>
            </w:r>
            <w:r>
              <w:rPr>
                <w:color w:val="000000"/>
              </w:rPr>
              <w:t>up to</w:t>
            </w:r>
          </w:p>
        </w:tc>
        <w:tc>
          <w:tcPr>
            <w:tcW w:w="0" w:type="auto"/>
            <w:tcBorders>
              <w:top w:val="nil"/>
              <w:left w:val="nil"/>
              <w:bottom w:val="nil"/>
              <w:right w:val="nil"/>
            </w:tcBorders>
            <w:tcMar>
              <w:top w:w="150" w:type="dxa"/>
              <w:left w:w="150" w:type="dxa"/>
              <w:bottom w:w="135" w:type="dxa"/>
              <w:right w:w="150" w:type="dxa"/>
            </w:tcMar>
            <w:hideMark/>
          </w:tcPr>
          <w:p w14:paraId="2858CF3E" w14:textId="77777777" w:rsidR="00B51D2B" w:rsidRDefault="00B51D2B">
            <w:pPr>
              <w:rPr>
                <w:color w:val="000000"/>
              </w:rPr>
            </w:pPr>
            <w:r>
              <w:rPr>
                <w:color w:val="000000"/>
              </w:rPr>
              <w:t>50%</w:t>
            </w:r>
          </w:p>
        </w:tc>
        <w:tc>
          <w:tcPr>
            <w:tcW w:w="0" w:type="auto"/>
            <w:tcBorders>
              <w:top w:val="nil"/>
              <w:left w:val="nil"/>
              <w:bottom w:val="nil"/>
              <w:right w:val="nil"/>
            </w:tcBorders>
            <w:tcMar>
              <w:top w:w="150" w:type="dxa"/>
              <w:left w:w="150" w:type="dxa"/>
              <w:bottom w:w="135" w:type="dxa"/>
              <w:right w:w="150" w:type="dxa"/>
            </w:tcMar>
            <w:hideMark/>
          </w:tcPr>
          <w:p w14:paraId="721356C3" w14:textId="77777777" w:rsidR="00B51D2B" w:rsidRDefault="00B51D2B">
            <w:pPr>
              <w:rPr>
                <w:color w:val="000000"/>
              </w:rPr>
            </w:pPr>
            <w:r>
              <w:rPr>
                <w:color w:val="000000"/>
              </w:rPr>
              <w:t>50%</w:t>
            </w:r>
          </w:p>
        </w:tc>
        <w:tc>
          <w:tcPr>
            <w:tcW w:w="0" w:type="auto"/>
            <w:tcBorders>
              <w:top w:val="nil"/>
              <w:left w:val="nil"/>
              <w:bottom w:val="nil"/>
              <w:right w:val="nil"/>
            </w:tcBorders>
            <w:tcMar>
              <w:top w:w="150" w:type="dxa"/>
              <w:left w:w="150" w:type="dxa"/>
              <w:bottom w:w="135" w:type="dxa"/>
              <w:right w:w="225" w:type="dxa"/>
            </w:tcMar>
            <w:hideMark/>
          </w:tcPr>
          <w:p w14:paraId="6AF45D7D" w14:textId="77777777" w:rsidR="00B51D2B" w:rsidRDefault="00B51D2B">
            <w:pPr>
              <w:rPr>
                <w:color w:val="000000"/>
              </w:rPr>
            </w:pPr>
            <w:r>
              <w:rPr>
                <w:color w:val="000000"/>
              </w:rPr>
              <w:t>60%</w:t>
            </w:r>
          </w:p>
        </w:tc>
      </w:tr>
      <w:tr w:rsidR="00B51D2B" w14:paraId="5C78D49D" w14:textId="77777777" w:rsidTr="00B51D2B">
        <w:tc>
          <w:tcPr>
            <w:tcW w:w="0" w:type="auto"/>
            <w:tcBorders>
              <w:top w:val="nil"/>
              <w:left w:val="nil"/>
              <w:bottom w:val="nil"/>
              <w:right w:val="nil"/>
            </w:tcBorders>
            <w:tcMar>
              <w:top w:w="150" w:type="dxa"/>
              <w:left w:w="225" w:type="dxa"/>
              <w:bottom w:w="135" w:type="dxa"/>
              <w:right w:w="150" w:type="dxa"/>
            </w:tcMar>
            <w:hideMark/>
          </w:tcPr>
          <w:p w14:paraId="7018D69C" w14:textId="77777777" w:rsidR="00B51D2B" w:rsidRDefault="00B51D2B">
            <w:pPr>
              <w:rPr>
                <w:color w:val="000000"/>
              </w:rPr>
            </w:pPr>
            <w:r>
              <w:rPr>
                <w:color w:val="000000"/>
              </w:rPr>
              <w:t>Covenant – Min</w:t>
            </w:r>
            <w:r>
              <w:rPr>
                <w:rStyle w:val="apple-converted-space"/>
                <w:color w:val="000000"/>
              </w:rPr>
              <w:t> </w:t>
            </w:r>
            <w:r>
              <w:rPr>
                <w:b/>
                <w:bCs/>
                <w:color w:val="000000"/>
              </w:rPr>
              <w:t>DSCR</w:t>
            </w:r>
          </w:p>
        </w:tc>
        <w:tc>
          <w:tcPr>
            <w:tcW w:w="0" w:type="auto"/>
            <w:tcBorders>
              <w:top w:val="nil"/>
              <w:left w:val="nil"/>
              <w:bottom w:val="nil"/>
              <w:right w:val="nil"/>
            </w:tcBorders>
            <w:tcMar>
              <w:top w:w="150" w:type="dxa"/>
              <w:left w:w="150" w:type="dxa"/>
              <w:bottom w:w="135" w:type="dxa"/>
              <w:right w:w="150" w:type="dxa"/>
            </w:tcMar>
            <w:hideMark/>
          </w:tcPr>
          <w:p w14:paraId="03EE0554" w14:textId="77777777" w:rsidR="00B51D2B" w:rsidRDefault="00B51D2B">
            <w:pPr>
              <w:rPr>
                <w:color w:val="000000"/>
              </w:rPr>
            </w:pPr>
            <w:r>
              <w:rPr>
                <w:color w:val="000000"/>
              </w:rPr>
              <w:t>1.5</w:t>
            </w:r>
          </w:p>
        </w:tc>
        <w:tc>
          <w:tcPr>
            <w:tcW w:w="0" w:type="auto"/>
            <w:tcBorders>
              <w:top w:val="nil"/>
              <w:left w:val="nil"/>
              <w:bottom w:val="nil"/>
              <w:right w:val="nil"/>
            </w:tcBorders>
            <w:tcMar>
              <w:top w:w="150" w:type="dxa"/>
              <w:left w:w="150" w:type="dxa"/>
              <w:bottom w:w="135" w:type="dxa"/>
              <w:right w:w="150" w:type="dxa"/>
            </w:tcMar>
            <w:hideMark/>
          </w:tcPr>
          <w:p w14:paraId="5D4F154C" w14:textId="77777777" w:rsidR="00B51D2B" w:rsidRDefault="00B51D2B">
            <w:pPr>
              <w:rPr>
                <w:color w:val="000000"/>
              </w:rPr>
            </w:pPr>
            <w:r>
              <w:rPr>
                <w:color w:val="000000"/>
              </w:rPr>
              <w:t>1.6</w:t>
            </w:r>
          </w:p>
        </w:tc>
        <w:tc>
          <w:tcPr>
            <w:tcW w:w="0" w:type="auto"/>
            <w:tcBorders>
              <w:top w:val="nil"/>
              <w:left w:val="nil"/>
              <w:bottom w:val="nil"/>
              <w:right w:val="nil"/>
            </w:tcBorders>
            <w:tcMar>
              <w:top w:w="150" w:type="dxa"/>
              <w:left w:w="150" w:type="dxa"/>
              <w:bottom w:w="135" w:type="dxa"/>
              <w:right w:w="225" w:type="dxa"/>
            </w:tcMar>
            <w:hideMark/>
          </w:tcPr>
          <w:p w14:paraId="3DF0DDC6" w14:textId="77777777" w:rsidR="00B51D2B" w:rsidRDefault="00B51D2B">
            <w:pPr>
              <w:rPr>
                <w:color w:val="000000"/>
              </w:rPr>
            </w:pPr>
            <w:r>
              <w:rPr>
                <w:color w:val="000000"/>
              </w:rPr>
              <w:t>1.3</w:t>
            </w:r>
          </w:p>
        </w:tc>
      </w:tr>
      <w:tr w:rsidR="00B51D2B" w14:paraId="4F1A7016" w14:textId="77777777" w:rsidTr="00B51D2B">
        <w:tc>
          <w:tcPr>
            <w:tcW w:w="0" w:type="auto"/>
            <w:tcBorders>
              <w:top w:val="nil"/>
              <w:left w:val="nil"/>
              <w:bottom w:val="nil"/>
              <w:right w:val="nil"/>
            </w:tcBorders>
            <w:tcMar>
              <w:top w:w="150" w:type="dxa"/>
              <w:left w:w="225" w:type="dxa"/>
              <w:bottom w:w="135" w:type="dxa"/>
              <w:right w:w="150" w:type="dxa"/>
            </w:tcMar>
            <w:hideMark/>
          </w:tcPr>
          <w:p w14:paraId="22816327" w14:textId="77777777" w:rsidR="00B51D2B" w:rsidRDefault="00B51D2B">
            <w:pPr>
              <w:rPr>
                <w:color w:val="000000"/>
              </w:rPr>
            </w:pPr>
            <w:r>
              <w:rPr>
                <w:color w:val="000000"/>
              </w:rPr>
              <w:t>Covenant – Interest Cover</w:t>
            </w:r>
            <w:hyperlink r:id="rId11" w:anchor="footnote-3" w:history="1">
              <w:r>
                <w:rPr>
                  <w:rStyle w:val="Hyperlink"/>
                  <w:color w:val="0B55A8"/>
                  <w:sz w:val="15"/>
                  <w:szCs w:val="15"/>
                  <w:vertAlign w:val="superscript"/>
                </w:rPr>
                <w:t>3</w:t>
              </w:r>
            </w:hyperlink>
            <w:r>
              <w:rPr>
                <w:color w:val="000000"/>
              </w:rPr>
              <w:t>not less than (times)</w:t>
            </w:r>
          </w:p>
        </w:tc>
        <w:tc>
          <w:tcPr>
            <w:tcW w:w="0" w:type="auto"/>
            <w:tcBorders>
              <w:top w:val="nil"/>
              <w:left w:val="nil"/>
              <w:bottom w:val="nil"/>
              <w:right w:val="nil"/>
            </w:tcBorders>
            <w:tcMar>
              <w:top w:w="150" w:type="dxa"/>
              <w:left w:w="150" w:type="dxa"/>
              <w:bottom w:w="135" w:type="dxa"/>
              <w:right w:w="150" w:type="dxa"/>
            </w:tcMar>
            <w:hideMark/>
          </w:tcPr>
          <w:p w14:paraId="58C59A05" w14:textId="77777777" w:rsidR="00B51D2B" w:rsidRDefault="00B51D2B">
            <w:pPr>
              <w:rPr>
                <w:color w:val="000000"/>
              </w:rPr>
            </w:pPr>
            <w:r>
              <w:rPr>
                <w:color w:val="000000"/>
              </w:rPr>
              <w:t>4.0</w:t>
            </w:r>
          </w:p>
        </w:tc>
        <w:tc>
          <w:tcPr>
            <w:tcW w:w="0" w:type="auto"/>
            <w:tcBorders>
              <w:top w:val="nil"/>
              <w:left w:val="nil"/>
              <w:bottom w:val="nil"/>
              <w:right w:val="nil"/>
            </w:tcBorders>
            <w:tcMar>
              <w:top w:w="150" w:type="dxa"/>
              <w:left w:w="150" w:type="dxa"/>
              <w:bottom w:w="135" w:type="dxa"/>
              <w:right w:w="150" w:type="dxa"/>
            </w:tcMar>
            <w:hideMark/>
          </w:tcPr>
          <w:p w14:paraId="2FB29D44" w14:textId="77777777" w:rsidR="00B51D2B" w:rsidRDefault="00B51D2B">
            <w:pPr>
              <w:rPr>
                <w:color w:val="000000"/>
              </w:rPr>
            </w:pPr>
            <w:r>
              <w:rPr>
                <w:color w:val="000000"/>
              </w:rPr>
              <w:t>3.0</w:t>
            </w:r>
          </w:p>
        </w:tc>
        <w:tc>
          <w:tcPr>
            <w:tcW w:w="0" w:type="auto"/>
            <w:tcBorders>
              <w:top w:val="nil"/>
              <w:left w:val="nil"/>
              <w:bottom w:val="nil"/>
              <w:right w:val="nil"/>
            </w:tcBorders>
            <w:tcMar>
              <w:top w:w="150" w:type="dxa"/>
              <w:left w:w="150" w:type="dxa"/>
              <w:bottom w:w="135" w:type="dxa"/>
              <w:right w:w="225" w:type="dxa"/>
            </w:tcMar>
            <w:hideMark/>
          </w:tcPr>
          <w:p w14:paraId="7247FF4F" w14:textId="77777777" w:rsidR="00B51D2B" w:rsidRDefault="00B51D2B">
            <w:pPr>
              <w:rPr>
                <w:color w:val="000000"/>
              </w:rPr>
            </w:pPr>
            <w:r>
              <w:rPr>
                <w:color w:val="000000"/>
              </w:rPr>
              <w:t>5.0</w:t>
            </w:r>
          </w:p>
        </w:tc>
      </w:tr>
      <w:tr w:rsidR="00B51D2B" w14:paraId="0012371F" w14:textId="77777777" w:rsidTr="00B51D2B">
        <w:tc>
          <w:tcPr>
            <w:tcW w:w="0" w:type="auto"/>
            <w:tcBorders>
              <w:top w:val="nil"/>
              <w:left w:val="nil"/>
              <w:bottom w:val="nil"/>
              <w:right w:val="nil"/>
            </w:tcBorders>
            <w:tcMar>
              <w:top w:w="150" w:type="dxa"/>
              <w:left w:w="225" w:type="dxa"/>
              <w:bottom w:w="135" w:type="dxa"/>
              <w:right w:w="150" w:type="dxa"/>
            </w:tcMar>
            <w:hideMark/>
          </w:tcPr>
          <w:p w14:paraId="444AD588" w14:textId="77777777" w:rsidR="00B51D2B" w:rsidRDefault="00B51D2B">
            <w:pPr>
              <w:rPr>
                <w:color w:val="000000"/>
              </w:rPr>
            </w:pPr>
            <w:r>
              <w:rPr>
                <w:color w:val="000000"/>
              </w:rPr>
              <w:t>Term</w:t>
            </w:r>
          </w:p>
        </w:tc>
        <w:tc>
          <w:tcPr>
            <w:tcW w:w="0" w:type="auto"/>
            <w:tcBorders>
              <w:top w:val="nil"/>
              <w:left w:val="nil"/>
              <w:bottom w:val="nil"/>
              <w:right w:val="nil"/>
            </w:tcBorders>
            <w:tcMar>
              <w:top w:w="150" w:type="dxa"/>
              <w:left w:w="150" w:type="dxa"/>
              <w:bottom w:w="135" w:type="dxa"/>
              <w:right w:w="150" w:type="dxa"/>
            </w:tcMar>
            <w:hideMark/>
          </w:tcPr>
          <w:p w14:paraId="05EE9E92" w14:textId="77777777" w:rsidR="00B51D2B" w:rsidRDefault="00B51D2B">
            <w:pPr>
              <w:rPr>
                <w:color w:val="000000"/>
              </w:rPr>
            </w:pPr>
            <w:r>
              <w:rPr>
                <w:color w:val="000000"/>
              </w:rPr>
              <w:t>10 years, and then option to refinance for a further 10 years</w:t>
            </w:r>
          </w:p>
        </w:tc>
        <w:tc>
          <w:tcPr>
            <w:tcW w:w="0" w:type="auto"/>
            <w:tcBorders>
              <w:top w:val="nil"/>
              <w:left w:val="nil"/>
              <w:bottom w:val="nil"/>
              <w:right w:val="nil"/>
            </w:tcBorders>
            <w:tcMar>
              <w:top w:w="150" w:type="dxa"/>
              <w:left w:w="150" w:type="dxa"/>
              <w:bottom w:w="135" w:type="dxa"/>
              <w:right w:w="150" w:type="dxa"/>
            </w:tcMar>
            <w:hideMark/>
          </w:tcPr>
          <w:p w14:paraId="2E460A8D" w14:textId="77777777" w:rsidR="00B51D2B" w:rsidRDefault="00B51D2B">
            <w:pPr>
              <w:rPr>
                <w:color w:val="000000"/>
              </w:rPr>
            </w:pPr>
            <w:r>
              <w:rPr>
                <w:color w:val="000000"/>
              </w:rPr>
              <w:t>20 years</w:t>
            </w:r>
          </w:p>
        </w:tc>
        <w:tc>
          <w:tcPr>
            <w:tcW w:w="0" w:type="auto"/>
            <w:tcBorders>
              <w:top w:val="nil"/>
              <w:left w:val="nil"/>
              <w:bottom w:val="nil"/>
              <w:right w:val="nil"/>
            </w:tcBorders>
            <w:tcMar>
              <w:top w:w="150" w:type="dxa"/>
              <w:left w:w="150" w:type="dxa"/>
              <w:bottom w:w="135" w:type="dxa"/>
              <w:right w:w="225" w:type="dxa"/>
            </w:tcMar>
            <w:hideMark/>
          </w:tcPr>
          <w:p w14:paraId="500F8FF3" w14:textId="77777777" w:rsidR="00B51D2B" w:rsidRDefault="00B51D2B">
            <w:pPr>
              <w:rPr>
                <w:color w:val="000000"/>
              </w:rPr>
            </w:pPr>
            <w:r>
              <w:rPr>
                <w:color w:val="000000"/>
              </w:rPr>
              <w:t>25 years</w:t>
            </w:r>
          </w:p>
        </w:tc>
      </w:tr>
      <w:tr w:rsidR="00B51D2B" w14:paraId="49264BE1" w14:textId="77777777" w:rsidTr="00B51D2B">
        <w:tc>
          <w:tcPr>
            <w:tcW w:w="0" w:type="auto"/>
            <w:tcBorders>
              <w:top w:val="nil"/>
              <w:left w:val="nil"/>
              <w:bottom w:val="nil"/>
              <w:right w:val="nil"/>
            </w:tcBorders>
            <w:tcMar>
              <w:top w:w="150" w:type="dxa"/>
              <w:left w:w="225" w:type="dxa"/>
              <w:bottom w:w="135" w:type="dxa"/>
              <w:right w:w="150" w:type="dxa"/>
            </w:tcMar>
            <w:hideMark/>
          </w:tcPr>
          <w:p w14:paraId="55D94B92" w14:textId="77777777" w:rsidR="00B51D2B" w:rsidRDefault="00B51D2B">
            <w:pPr>
              <w:rPr>
                <w:color w:val="000000"/>
              </w:rPr>
            </w:pPr>
            <w:r>
              <w:rPr>
                <w:color w:val="000000"/>
              </w:rPr>
              <w:t>Loan type</w:t>
            </w:r>
          </w:p>
        </w:tc>
        <w:tc>
          <w:tcPr>
            <w:tcW w:w="0" w:type="auto"/>
            <w:tcBorders>
              <w:top w:val="nil"/>
              <w:left w:val="nil"/>
              <w:bottom w:val="nil"/>
              <w:right w:val="nil"/>
            </w:tcBorders>
            <w:tcMar>
              <w:top w:w="150" w:type="dxa"/>
              <w:left w:w="150" w:type="dxa"/>
              <w:bottom w:w="135" w:type="dxa"/>
              <w:right w:w="150" w:type="dxa"/>
            </w:tcMar>
            <w:hideMark/>
          </w:tcPr>
          <w:p w14:paraId="0C34F96F" w14:textId="77777777" w:rsidR="00B51D2B" w:rsidRDefault="00B51D2B">
            <w:pPr>
              <w:rPr>
                <w:color w:val="000000"/>
              </w:rPr>
            </w:pPr>
            <w:r>
              <w:rPr>
                <w:color w:val="000000"/>
              </w:rPr>
              <w:t>Fixed rate annuity</w:t>
            </w:r>
          </w:p>
        </w:tc>
        <w:tc>
          <w:tcPr>
            <w:tcW w:w="0" w:type="auto"/>
            <w:tcBorders>
              <w:top w:val="nil"/>
              <w:left w:val="nil"/>
              <w:bottom w:val="nil"/>
              <w:right w:val="nil"/>
            </w:tcBorders>
            <w:tcMar>
              <w:top w:w="150" w:type="dxa"/>
              <w:left w:w="150" w:type="dxa"/>
              <w:bottom w:w="135" w:type="dxa"/>
              <w:right w:w="150" w:type="dxa"/>
            </w:tcMar>
            <w:hideMark/>
          </w:tcPr>
          <w:p w14:paraId="6751CCD2" w14:textId="77777777" w:rsidR="00B51D2B" w:rsidRDefault="00B51D2B">
            <w:pPr>
              <w:rPr>
                <w:color w:val="000000"/>
              </w:rPr>
            </w:pPr>
            <w:r>
              <w:rPr>
                <w:color w:val="000000"/>
              </w:rPr>
              <w:t>Fixed rate annuity</w:t>
            </w:r>
          </w:p>
        </w:tc>
        <w:tc>
          <w:tcPr>
            <w:tcW w:w="0" w:type="auto"/>
            <w:tcBorders>
              <w:top w:val="nil"/>
              <w:left w:val="nil"/>
              <w:bottom w:val="nil"/>
              <w:right w:val="nil"/>
            </w:tcBorders>
            <w:tcMar>
              <w:top w:w="150" w:type="dxa"/>
              <w:left w:w="150" w:type="dxa"/>
              <w:bottom w:w="135" w:type="dxa"/>
              <w:right w:w="225" w:type="dxa"/>
            </w:tcMar>
            <w:hideMark/>
          </w:tcPr>
          <w:p w14:paraId="482B88A7" w14:textId="77777777" w:rsidR="00B51D2B" w:rsidRDefault="00B51D2B">
            <w:pPr>
              <w:rPr>
                <w:color w:val="000000"/>
              </w:rPr>
            </w:pPr>
            <w:r>
              <w:rPr>
                <w:color w:val="000000"/>
              </w:rPr>
              <w:t>Fixed rate annuity</w:t>
            </w:r>
          </w:p>
        </w:tc>
      </w:tr>
      <w:tr w:rsidR="00B51D2B" w14:paraId="37625026" w14:textId="77777777" w:rsidTr="00B51D2B">
        <w:tc>
          <w:tcPr>
            <w:tcW w:w="0" w:type="auto"/>
            <w:tcBorders>
              <w:top w:val="nil"/>
              <w:left w:val="nil"/>
              <w:bottom w:val="nil"/>
              <w:right w:val="nil"/>
            </w:tcBorders>
            <w:tcMar>
              <w:top w:w="150" w:type="dxa"/>
              <w:left w:w="225" w:type="dxa"/>
              <w:bottom w:w="135" w:type="dxa"/>
              <w:right w:w="150" w:type="dxa"/>
            </w:tcMar>
            <w:hideMark/>
          </w:tcPr>
          <w:p w14:paraId="5D39CF14" w14:textId="77777777" w:rsidR="00B51D2B" w:rsidRDefault="00B51D2B">
            <w:pPr>
              <w:rPr>
                <w:color w:val="000000"/>
              </w:rPr>
            </w:pPr>
            <w:r>
              <w:rPr>
                <w:color w:val="000000"/>
              </w:rPr>
              <w:t>Commitment fee</w:t>
            </w:r>
          </w:p>
        </w:tc>
        <w:tc>
          <w:tcPr>
            <w:tcW w:w="0" w:type="auto"/>
            <w:tcBorders>
              <w:top w:val="nil"/>
              <w:left w:val="nil"/>
              <w:bottom w:val="nil"/>
              <w:right w:val="nil"/>
            </w:tcBorders>
            <w:tcMar>
              <w:top w:w="150" w:type="dxa"/>
              <w:left w:w="150" w:type="dxa"/>
              <w:bottom w:w="135" w:type="dxa"/>
              <w:right w:w="150" w:type="dxa"/>
            </w:tcMar>
            <w:hideMark/>
          </w:tcPr>
          <w:p w14:paraId="0DCA1207" w14:textId="77777777" w:rsidR="00B51D2B" w:rsidRDefault="00B51D2B">
            <w:pPr>
              <w:rPr>
                <w:color w:val="000000"/>
              </w:rPr>
            </w:pPr>
            <w:r>
              <w:rPr>
                <w:color w:val="000000"/>
              </w:rPr>
              <w:t>40bps</w:t>
            </w:r>
          </w:p>
        </w:tc>
        <w:tc>
          <w:tcPr>
            <w:tcW w:w="0" w:type="auto"/>
            <w:tcBorders>
              <w:top w:val="nil"/>
              <w:left w:val="nil"/>
              <w:bottom w:val="nil"/>
              <w:right w:val="nil"/>
            </w:tcBorders>
            <w:tcMar>
              <w:top w:w="150" w:type="dxa"/>
              <w:left w:w="150" w:type="dxa"/>
              <w:bottom w:w="135" w:type="dxa"/>
              <w:right w:w="150" w:type="dxa"/>
            </w:tcMar>
            <w:hideMark/>
          </w:tcPr>
          <w:p w14:paraId="1C224F44" w14:textId="77777777" w:rsidR="00B51D2B" w:rsidRDefault="00B51D2B">
            <w:pPr>
              <w:rPr>
                <w:color w:val="000000"/>
              </w:rPr>
            </w:pPr>
            <w:r>
              <w:rPr>
                <w:color w:val="000000"/>
              </w:rPr>
              <w:t>30bps</w:t>
            </w:r>
          </w:p>
        </w:tc>
        <w:tc>
          <w:tcPr>
            <w:tcW w:w="0" w:type="auto"/>
            <w:tcBorders>
              <w:top w:val="nil"/>
              <w:left w:val="nil"/>
              <w:bottom w:val="nil"/>
              <w:right w:val="nil"/>
            </w:tcBorders>
            <w:tcMar>
              <w:top w:w="150" w:type="dxa"/>
              <w:left w:w="150" w:type="dxa"/>
              <w:bottom w:w="135" w:type="dxa"/>
              <w:right w:w="225" w:type="dxa"/>
            </w:tcMar>
            <w:hideMark/>
          </w:tcPr>
          <w:p w14:paraId="6B47AA6F" w14:textId="77777777" w:rsidR="00B51D2B" w:rsidRDefault="00B51D2B">
            <w:pPr>
              <w:rPr>
                <w:color w:val="000000"/>
              </w:rPr>
            </w:pPr>
            <w:r>
              <w:rPr>
                <w:color w:val="000000"/>
              </w:rPr>
              <w:t>30bps</w:t>
            </w:r>
          </w:p>
        </w:tc>
      </w:tr>
      <w:tr w:rsidR="00B51D2B" w14:paraId="1A04CAAD" w14:textId="77777777" w:rsidTr="00B51D2B">
        <w:tc>
          <w:tcPr>
            <w:tcW w:w="0" w:type="auto"/>
            <w:tcBorders>
              <w:top w:val="nil"/>
              <w:left w:val="nil"/>
              <w:bottom w:val="nil"/>
              <w:right w:val="nil"/>
            </w:tcBorders>
            <w:tcMar>
              <w:top w:w="150" w:type="dxa"/>
              <w:left w:w="225" w:type="dxa"/>
              <w:bottom w:w="135" w:type="dxa"/>
              <w:right w:w="150" w:type="dxa"/>
            </w:tcMar>
            <w:hideMark/>
          </w:tcPr>
          <w:p w14:paraId="51A983F7" w14:textId="77777777" w:rsidR="00B51D2B" w:rsidRDefault="00B51D2B">
            <w:pPr>
              <w:rPr>
                <w:color w:val="000000"/>
              </w:rPr>
            </w:pPr>
            <w:r>
              <w:rPr>
                <w:color w:val="000000"/>
              </w:rPr>
              <w:t>Arrangement fee</w:t>
            </w:r>
          </w:p>
        </w:tc>
        <w:tc>
          <w:tcPr>
            <w:tcW w:w="0" w:type="auto"/>
            <w:tcBorders>
              <w:top w:val="nil"/>
              <w:left w:val="nil"/>
              <w:bottom w:val="nil"/>
              <w:right w:val="nil"/>
            </w:tcBorders>
            <w:tcMar>
              <w:top w:w="150" w:type="dxa"/>
              <w:left w:w="150" w:type="dxa"/>
              <w:bottom w:w="135" w:type="dxa"/>
              <w:right w:w="150" w:type="dxa"/>
            </w:tcMar>
            <w:hideMark/>
          </w:tcPr>
          <w:p w14:paraId="6F38837A" w14:textId="77777777" w:rsidR="00B51D2B" w:rsidRDefault="00B51D2B">
            <w:pPr>
              <w:rPr>
                <w:color w:val="000000"/>
              </w:rPr>
            </w:pPr>
            <w:r>
              <w:rPr>
                <w:color w:val="000000"/>
              </w:rPr>
              <w:t>1% of loan</w:t>
            </w:r>
          </w:p>
        </w:tc>
        <w:tc>
          <w:tcPr>
            <w:tcW w:w="0" w:type="auto"/>
            <w:tcBorders>
              <w:top w:val="nil"/>
              <w:left w:val="nil"/>
              <w:bottom w:val="nil"/>
              <w:right w:val="nil"/>
            </w:tcBorders>
            <w:tcMar>
              <w:top w:w="150" w:type="dxa"/>
              <w:left w:w="150" w:type="dxa"/>
              <w:bottom w:w="135" w:type="dxa"/>
              <w:right w:w="150" w:type="dxa"/>
            </w:tcMar>
            <w:hideMark/>
          </w:tcPr>
          <w:p w14:paraId="6618DCF9" w14:textId="77777777" w:rsidR="00B51D2B" w:rsidRDefault="00B51D2B">
            <w:pPr>
              <w:rPr>
                <w:color w:val="000000"/>
              </w:rPr>
            </w:pPr>
            <w:r>
              <w:rPr>
                <w:color w:val="000000"/>
              </w:rPr>
              <w:t>1% of loan</w:t>
            </w:r>
          </w:p>
        </w:tc>
        <w:tc>
          <w:tcPr>
            <w:tcW w:w="0" w:type="auto"/>
            <w:tcBorders>
              <w:top w:val="nil"/>
              <w:left w:val="nil"/>
              <w:bottom w:val="nil"/>
              <w:right w:val="nil"/>
            </w:tcBorders>
            <w:tcMar>
              <w:top w:w="150" w:type="dxa"/>
              <w:left w:w="150" w:type="dxa"/>
              <w:bottom w:w="135" w:type="dxa"/>
              <w:right w:w="225" w:type="dxa"/>
            </w:tcMar>
            <w:hideMark/>
          </w:tcPr>
          <w:p w14:paraId="62E22DD2" w14:textId="77777777" w:rsidR="00B51D2B" w:rsidRDefault="00B51D2B">
            <w:pPr>
              <w:rPr>
                <w:color w:val="000000"/>
              </w:rPr>
            </w:pPr>
            <w:r>
              <w:rPr>
                <w:color w:val="000000"/>
              </w:rPr>
              <w:t>0.5% of loan</w:t>
            </w:r>
          </w:p>
        </w:tc>
      </w:tr>
      <w:tr w:rsidR="00B51D2B" w14:paraId="22F4A62C" w14:textId="77777777" w:rsidTr="00B51D2B">
        <w:tc>
          <w:tcPr>
            <w:tcW w:w="0" w:type="auto"/>
            <w:tcBorders>
              <w:top w:val="nil"/>
              <w:left w:val="nil"/>
              <w:bottom w:val="nil"/>
              <w:right w:val="nil"/>
            </w:tcBorders>
            <w:tcMar>
              <w:top w:w="150" w:type="dxa"/>
              <w:left w:w="225" w:type="dxa"/>
              <w:bottom w:w="135" w:type="dxa"/>
              <w:right w:w="150" w:type="dxa"/>
            </w:tcMar>
            <w:hideMark/>
          </w:tcPr>
          <w:p w14:paraId="44E00C37" w14:textId="77777777" w:rsidR="00B51D2B" w:rsidRDefault="00B51D2B">
            <w:pPr>
              <w:rPr>
                <w:color w:val="000000"/>
              </w:rPr>
            </w:pPr>
            <w:r>
              <w:rPr>
                <w:color w:val="000000"/>
              </w:rPr>
              <w:t>Availability period</w:t>
            </w:r>
          </w:p>
        </w:tc>
        <w:tc>
          <w:tcPr>
            <w:tcW w:w="0" w:type="auto"/>
            <w:tcBorders>
              <w:top w:val="nil"/>
              <w:left w:val="nil"/>
              <w:bottom w:val="nil"/>
              <w:right w:val="nil"/>
            </w:tcBorders>
            <w:tcMar>
              <w:top w:w="150" w:type="dxa"/>
              <w:left w:w="150" w:type="dxa"/>
              <w:bottom w:w="135" w:type="dxa"/>
              <w:right w:w="150" w:type="dxa"/>
            </w:tcMar>
            <w:hideMark/>
          </w:tcPr>
          <w:p w14:paraId="62416AC0" w14:textId="77777777" w:rsidR="00B51D2B" w:rsidRDefault="00B51D2B">
            <w:pPr>
              <w:rPr>
                <w:color w:val="000000"/>
              </w:rPr>
            </w:pPr>
            <w:r>
              <w:rPr>
                <w:color w:val="000000"/>
              </w:rPr>
              <w:t>2 years</w:t>
            </w:r>
          </w:p>
        </w:tc>
        <w:tc>
          <w:tcPr>
            <w:tcW w:w="0" w:type="auto"/>
            <w:tcBorders>
              <w:top w:val="nil"/>
              <w:left w:val="nil"/>
              <w:bottom w:val="nil"/>
              <w:right w:val="nil"/>
            </w:tcBorders>
            <w:tcMar>
              <w:top w:w="150" w:type="dxa"/>
              <w:left w:w="150" w:type="dxa"/>
              <w:bottom w:w="135" w:type="dxa"/>
              <w:right w:w="150" w:type="dxa"/>
            </w:tcMar>
            <w:hideMark/>
          </w:tcPr>
          <w:p w14:paraId="02A9409D" w14:textId="77777777" w:rsidR="00B51D2B" w:rsidRDefault="00B51D2B">
            <w:pPr>
              <w:rPr>
                <w:color w:val="000000"/>
              </w:rPr>
            </w:pPr>
            <w:r>
              <w:rPr>
                <w:color w:val="000000"/>
              </w:rPr>
              <w:t>3 years</w:t>
            </w:r>
          </w:p>
        </w:tc>
        <w:tc>
          <w:tcPr>
            <w:tcW w:w="0" w:type="auto"/>
            <w:tcBorders>
              <w:top w:val="nil"/>
              <w:left w:val="nil"/>
              <w:bottom w:val="nil"/>
              <w:right w:val="nil"/>
            </w:tcBorders>
            <w:tcMar>
              <w:top w:w="150" w:type="dxa"/>
              <w:left w:w="150" w:type="dxa"/>
              <w:bottom w:w="135" w:type="dxa"/>
              <w:right w:w="225" w:type="dxa"/>
            </w:tcMar>
            <w:hideMark/>
          </w:tcPr>
          <w:p w14:paraId="322079FD" w14:textId="77777777" w:rsidR="00B51D2B" w:rsidRDefault="00B51D2B">
            <w:pPr>
              <w:rPr>
                <w:color w:val="000000"/>
              </w:rPr>
            </w:pPr>
            <w:r>
              <w:rPr>
                <w:color w:val="000000"/>
              </w:rPr>
              <w:t>2 years</w:t>
            </w:r>
          </w:p>
        </w:tc>
      </w:tr>
      <w:tr w:rsidR="00B51D2B" w14:paraId="13E9743E" w14:textId="77777777" w:rsidTr="00B51D2B">
        <w:tc>
          <w:tcPr>
            <w:tcW w:w="0" w:type="auto"/>
            <w:tcBorders>
              <w:top w:val="nil"/>
              <w:left w:val="nil"/>
              <w:bottom w:val="nil"/>
              <w:right w:val="nil"/>
            </w:tcBorders>
            <w:tcMar>
              <w:top w:w="150" w:type="dxa"/>
              <w:left w:w="225" w:type="dxa"/>
              <w:bottom w:w="135" w:type="dxa"/>
              <w:right w:w="150" w:type="dxa"/>
            </w:tcMar>
            <w:hideMark/>
          </w:tcPr>
          <w:p w14:paraId="1E97A680" w14:textId="77777777" w:rsidR="00B51D2B" w:rsidRDefault="00B51D2B">
            <w:pPr>
              <w:rPr>
                <w:color w:val="000000"/>
              </w:rPr>
            </w:pPr>
            <w:r>
              <w:rPr>
                <w:color w:val="000000"/>
              </w:rPr>
              <w:t xml:space="preserve">No. of tranche </w:t>
            </w:r>
            <w:proofErr w:type="spellStart"/>
            <w:r>
              <w:rPr>
                <w:color w:val="000000"/>
              </w:rPr>
              <w:t>draw downs</w:t>
            </w:r>
            <w:proofErr w:type="spellEnd"/>
            <w:r>
              <w:rPr>
                <w:color w:val="000000"/>
              </w:rPr>
              <w:t xml:space="preserve"> during the availability period</w:t>
            </w:r>
          </w:p>
        </w:tc>
        <w:tc>
          <w:tcPr>
            <w:tcW w:w="0" w:type="auto"/>
            <w:tcBorders>
              <w:top w:val="nil"/>
              <w:left w:val="nil"/>
              <w:bottom w:val="nil"/>
              <w:right w:val="nil"/>
            </w:tcBorders>
            <w:tcMar>
              <w:top w:w="150" w:type="dxa"/>
              <w:left w:w="150" w:type="dxa"/>
              <w:bottom w:w="135" w:type="dxa"/>
              <w:right w:w="150" w:type="dxa"/>
            </w:tcMar>
            <w:hideMark/>
          </w:tcPr>
          <w:p w14:paraId="3ADB3F09" w14:textId="77777777" w:rsidR="00B51D2B" w:rsidRDefault="00B51D2B">
            <w:pPr>
              <w:rPr>
                <w:color w:val="000000"/>
              </w:rPr>
            </w:pPr>
            <w:r>
              <w:rPr>
                <w:color w:val="000000"/>
              </w:rPr>
              <w:t>6</w:t>
            </w:r>
          </w:p>
        </w:tc>
        <w:tc>
          <w:tcPr>
            <w:tcW w:w="0" w:type="auto"/>
            <w:tcBorders>
              <w:top w:val="nil"/>
              <w:left w:val="nil"/>
              <w:bottom w:val="nil"/>
              <w:right w:val="nil"/>
            </w:tcBorders>
            <w:tcMar>
              <w:top w:w="150" w:type="dxa"/>
              <w:left w:w="150" w:type="dxa"/>
              <w:bottom w:w="135" w:type="dxa"/>
              <w:right w:w="150" w:type="dxa"/>
            </w:tcMar>
            <w:hideMark/>
          </w:tcPr>
          <w:p w14:paraId="080E2180" w14:textId="77777777" w:rsidR="00B51D2B" w:rsidRDefault="00B51D2B">
            <w:pPr>
              <w:rPr>
                <w:color w:val="000000"/>
              </w:rPr>
            </w:pPr>
            <w:r>
              <w:rPr>
                <w:color w:val="000000"/>
              </w:rPr>
              <w:t>12</w:t>
            </w:r>
          </w:p>
        </w:tc>
        <w:tc>
          <w:tcPr>
            <w:tcW w:w="0" w:type="auto"/>
            <w:tcBorders>
              <w:top w:val="nil"/>
              <w:left w:val="nil"/>
              <w:bottom w:val="nil"/>
              <w:right w:val="nil"/>
            </w:tcBorders>
            <w:tcMar>
              <w:top w:w="150" w:type="dxa"/>
              <w:left w:w="150" w:type="dxa"/>
              <w:bottom w:w="135" w:type="dxa"/>
              <w:right w:w="225" w:type="dxa"/>
            </w:tcMar>
            <w:hideMark/>
          </w:tcPr>
          <w:p w14:paraId="2127EE30" w14:textId="77777777" w:rsidR="00B51D2B" w:rsidRDefault="00B51D2B">
            <w:pPr>
              <w:rPr>
                <w:color w:val="000000"/>
              </w:rPr>
            </w:pPr>
            <w:r>
              <w:rPr>
                <w:color w:val="000000"/>
              </w:rPr>
              <w:t>8</w:t>
            </w:r>
          </w:p>
        </w:tc>
      </w:tr>
    </w:tbl>
    <w:p w14:paraId="16921281" w14:textId="7E1D28F7" w:rsidR="00B51D2B" w:rsidRDefault="00B51D2B"/>
    <w:p w14:paraId="20394188" w14:textId="77777777" w:rsidR="00B51D2B" w:rsidRDefault="00B51D2B" w:rsidP="00B51D2B">
      <w:pPr>
        <w:pStyle w:val="Heading1"/>
        <w:spacing w:before="0" w:beforeAutospacing="0" w:after="150" w:afterAutospacing="0"/>
        <w:rPr>
          <w:rFonts w:ascii="inherit" w:hAnsi="inherit" w:cs="Arial"/>
          <w:color w:val="002158"/>
          <w:sz w:val="31"/>
          <w:szCs w:val="31"/>
        </w:rPr>
      </w:pPr>
      <w:r>
        <w:rPr>
          <w:rFonts w:ascii="inherit" w:hAnsi="inherit" w:cs="Arial"/>
          <w:color w:val="002158"/>
          <w:sz w:val="31"/>
          <w:szCs w:val="31"/>
        </w:rPr>
        <w:lastRenderedPageBreak/>
        <w:t>Appendix 6: Manufacturing Unit’s Business Proposal to Move Production from China to Mexico</w:t>
      </w:r>
    </w:p>
    <w:p w14:paraId="4F93C55D"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following information has been prepared by a business development team within the manufacturing business segment.</w:t>
      </w:r>
    </w:p>
    <w:p w14:paraId="73075B2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establishment of a production facility on the outskirts of Mexico City would cost US$480m. 90% of this investment would be payable at the end of year one, with the remainder payable now. The Mexican government incentivises foreign direct investment, with incentives including capital grant funding of up to 50% of the initial capital investment, payable in equal instalments over 5 years, starting in year 1. No writing down allowance is available on any element of the capital expenditure as a result of the capital grant provision. The grant funding is repayable if the company leaves Mexico within 5 years.</w:t>
      </w:r>
    </w:p>
    <w:p w14:paraId="7C409CE3"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In </w:t>
      </w:r>
      <w:proofErr w:type="gramStart"/>
      <w:r>
        <w:rPr>
          <w:rFonts w:ascii="Arial" w:hAnsi="Arial" w:cs="Arial"/>
          <w:color w:val="000000"/>
          <w:sz w:val="21"/>
          <w:szCs w:val="21"/>
        </w:rPr>
        <w:t>addition</w:t>
      </w:r>
      <w:proofErr w:type="gramEnd"/>
      <w:r>
        <w:rPr>
          <w:rFonts w:ascii="Arial" w:hAnsi="Arial" w:cs="Arial"/>
          <w:color w:val="000000"/>
          <w:sz w:val="21"/>
          <w:szCs w:val="21"/>
        </w:rPr>
        <w:t xml:space="preserve"> a working capital investment of US$96m would be required at the outset of the investment. A subsidiary company (Fusion Mexico) would be the corporate vehicle through which the company would operate in Mexico. US$30,000 has already been incurred to date exploring the legal structure of a company in Mexico.</w:t>
      </w:r>
    </w:p>
    <w:p w14:paraId="55CFB9CF"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A loan facility of US$480m would be established with Bank Mexico to finance the construction of the production facility, with the interest rate cost expected to be 12%. In </w:t>
      </w:r>
      <w:proofErr w:type="gramStart"/>
      <w:r>
        <w:rPr>
          <w:rFonts w:ascii="Arial" w:hAnsi="Arial" w:cs="Arial"/>
          <w:color w:val="000000"/>
          <w:sz w:val="21"/>
          <w:szCs w:val="21"/>
        </w:rPr>
        <w:t>addition</w:t>
      </w:r>
      <w:proofErr w:type="gramEnd"/>
      <w:r>
        <w:rPr>
          <w:rFonts w:ascii="Arial" w:hAnsi="Arial" w:cs="Arial"/>
          <w:color w:val="000000"/>
          <w:sz w:val="21"/>
          <w:szCs w:val="21"/>
        </w:rPr>
        <w:t xml:space="preserve"> an overdraft facility of US$100m would be established with an interest rate cost of 15%.</w:t>
      </w:r>
    </w:p>
    <w:p w14:paraId="1D181218"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Use the overall Group cost of capital benchmark for investments of this nature of 10% to appraise this capital proposal.</w:t>
      </w:r>
    </w:p>
    <w:p w14:paraId="3F7AD8A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following plant projections have been provided and are expressed in current terms:</w:t>
      </w:r>
    </w:p>
    <w:tbl>
      <w:tblPr>
        <w:tblW w:w="8520" w:type="dxa"/>
        <w:tblCellMar>
          <w:top w:w="15" w:type="dxa"/>
          <w:left w:w="15" w:type="dxa"/>
          <w:bottom w:w="15" w:type="dxa"/>
          <w:right w:w="15" w:type="dxa"/>
        </w:tblCellMar>
        <w:tblLook w:val="04A0" w:firstRow="1" w:lastRow="0" w:firstColumn="1" w:lastColumn="0" w:noHBand="0" w:noVBand="1"/>
      </w:tblPr>
      <w:tblGrid>
        <w:gridCol w:w="3444"/>
        <w:gridCol w:w="998"/>
        <w:gridCol w:w="999"/>
        <w:gridCol w:w="999"/>
        <w:gridCol w:w="999"/>
        <w:gridCol w:w="1081"/>
      </w:tblGrid>
      <w:tr w:rsidR="00B51D2B" w14:paraId="3F22781F" w14:textId="77777777" w:rsidTr="00B51D2B">
        <w:tc>
          <w:tcPr>
            <w:tcW w:w="0" w:type="auto"/>
            <w:tcBorders>
              <w:top w:val="nil"/>
              <w:left w:val="nil"/>
              <w:bottom w:val="nil"/>
              <w:right w:val="nil"/>
            </w:tcBorders>
            <w:tcMar>
              <w:top w:w="150" w:type="dxa"/>
              <w:left w:w="225" w:type="dxa"/>
              <w:bottom w:w="135" w:type="dxa"/>
              <w:right w:w="150" w:type="dxa"/>
            </w:tcMar>
            <w:hideMark/>
          </w:tcPr>
          <w:p w14:paraId="66D6E991" w14:textId="77777777" w:rsidR="00B51D2B" w:rsidRDefault="00B51D2B">
            <w:pPr>
              <w:rPr>
                <w:rFonts w:ascii="Times New Roman" w:hAnsi="Times New Roman" w:cs="Times New Roman"/>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5DCB4A86" w14:textId="77777777" w:rsidR="00B51D2B" w:rsidRDefault="00B51D2B">
            <w:pPr>
              <w:rPr>
                <w:color w:val="000000"/>
              </w:rPr>
            </w:pPr>
            <w:r>
              <w:rPr>
                <w:color w:val="000000"/>
              </w:rPr>
              <w:t>Year 1</w:t>
            </w:r>
          </w:p>
        </w:tc>
        <w:tc>
          <w:tcPr>
            <w:tcW w:w="0" w:type="auto"/>
            <w:tcBorders>
              <w:top w:val="nil"/>
              <w:left w:val="nil"/>
              <w:bottom w:val="nil"/>
              <w:right w:val="nil"/>
            </w:tcBorders>
            <w:tcMar>
              <w:top w:w="150" w:type="dxa"/>
              <w:left w:w="150" w:type="dxa"/>
              <w:bottom w:w="135" w:type="dxa"/>
              <w:right w:w="150" w:type="dxa"/>
            </w:tcMar>
            <w:hideMark/>
          </w:tcPr>
          <w:p w14:paraId="5AF6D144" w14:textId="77777777" w:rsidR="00B51D2B" w:rsidRDefault="00B51D2B">
            <w:pPr>
              <w:rPr>
                <w:color w:val="000000"/>
              </w:rPr>
            </w:pPr>
            <w:r>
              <w:rPr>
                <w:color w:val="000000"/>
              </w:rPr>
              <w:t>Year 2</w:t>
            </w:r>
          </w:p>
        </w:tc>
        <w:tc>
          <w:tcPr>
            <w:tcW w:w="0" w:type="auto"/>
            <w:tcBorders>
              <w:top w:val="nil"/>
              <w:left w:val="nil"/>
              <w:bottom w:val="nil"/>
              <w:right w:val="nil"/>
            </w:tcBorders>
            <w:tcMar>
              <w:top w:w="150" w:type="dxa"/>
              <w:left w:w="150" w:type="dxa"/>
              <w:bottom w:w="135" w:type="dxa"/>
              <w:right w:w="150" w:type="dxa"/>
            </w:tcMar>
            <w:hideMark/>
          </w:tcPr>
          <w:p w14:paraId="49C70EB2" w14:textId="77777777" w:rsidR="00B51D2B" w:rsidRDefault="00B51D2B">
            <w:pPr>
              <w:rPr>
                <w:color w:val="000000"/>
              </w:rPr>
            </w:pPr>
            <w:r>
              <w:rPr>
                <w:color w:val="000000"/>
              </w:rPr>
              <w:t>Year 3</w:t>
            </w:r>
          </w:p>
        </w:tc>
        <w:tc>
          <w:tcPr>
            <w:tcW w:w="0" w:type="auto"/>
            <w:tcBorders>
              <w:top w:val="nil"/>
              <w:left w:val="nil"/>
              <w:bottom w:val="nil"/>
              <w:right w:val="nil"/>
            </w:tcBorders>
            <w:tcMar>
              <w:top w:w="150" w:type="dxa"/>
              <w:left w:w="150" w:type="dxa"/>
              <w:bottom w:w="135" w:type="dxa"/>
              <w:right w:w="150" w:type="dxa"/>
            </w:tcMar>
            <w:hideMark/>
          </w:tcPr>
          <w:p w14:paraId="748B9934" w14:textId="77777777" w:rsidR="00B51D2B" w:rsidRDefault="00B51D2B">
            <w:pPr>
              <w:rPr>
                <w:color w:val="000000"/>
              </w:rPr>
            </w:pPr>
            <w:r>
              <w:rPr>
                <w:color w:val="000000"/>
              </w:rPr>
              <w:t>Year 4</w:t>
            </w:r>
          </w:p>
        </w:tc>
        <w:tc>
          <w:tcPr>
            <w:tcW w:w="0" w:type="auto"/>
            <w:tcBorders>
              <w:top w:val="nil"/>
              <w:left w:val="nil"/>
              <w:bottom w:val="nil"/>
              <w:right w:val="nil"/>
            </w:tcBorders>
            <w:tcMar>
              <w:top w:w="150" w:type="dxa"/>
              <w:left w:w="150" w:type="dxa"/>
              <w:bottom w:w="135" w:type="dxa"/>
              <w:right w:w="225" w:type="dxa"/>
            </w:tcMar>
            <w:hideMark/>
          </w:tcPr>
          <w:p w14:paraId="2A81583A" w14:textId="77777777" w:rsidR="00B51D2B" w:rsidRDefault="00B51D2B">
            <w:pPr>
              <w:rPr>
                <w:color w:val="000000"/>
              </w:rPr>
            </w:pPr>
            <w:r>
              <w:rPr>
                <w:color w:val="000000"/>
              </w:rPr>
              <w:t>Year 5</w:t>
            </w:r>
          </w:p>
        </w:tc>
      </w:tr>
      <w:tr w:rsidR="00B51D2B" w14:paraId="2922D65B" w14:textId="77777777" w:rsidTr="00B51D2B">
        <w:tc>
          <w:tcPr>
            <w:tcW w:w="0" w:type="auto"/>
            <w:tcBorders>
              <w:top w:val="nil"/>
              <w:left w:val="nil"/>
              <w:bottom w:val="nil"/>
              <w:right w:val="nil"/>
            </w:tcBorders>
            <w:tcMar>
              <w:top w:w="150" w:type="dxa"/>
              <w:left w:w="225" w:type="dxa"/>
              <w:bottom w:w="135" w:type="dxa"/>
              <w:right w:w="150" w:type="dxa"/>
            </w:tcMar>
            <w:hideMark/>
          </w:tcPr>
          <w:p w14:paraId="286708F1"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13CECA90" w14:textId="77777777" w:rsidR="00B51D2B" w:rsidRDefault="00B51D2B">
            <w:pPr>
              <w:rPr>
                <w:color w:val="000000"/>
              </w:rPr>
            </w:pPr>
            <w:proofErr w:type="spellStart"/>
            <w:r>
              <w:rPr>
                <w:color w:val="000000"/>
              </w:rPr>
              <w:t>US$m</w:t>
            </w:r>
            <w:proofErr w:type="spellEnd"/>
          </w:p>
        </w:tc>
        <w:tc>
          <w:tcPr>
            <w:tcW w:w="0" w:type="auto"/>
            <w:tcBorders>
              <w:top w:val="nil"/>
              <w:left w:val="nil"/>
              <w:bottom w:val="nil"/>
              <w:right w:val="nil"/>
            </w:tcBorders>
            <w:tcMar>
              <w:top w:w="150" w:type="dxa"/>
              <w:left w:w="150" w:type="dxa"/>
              <w:bottom w:w="135" w:type="dxa"/>
              <w:right w:w="150" w:type="dxa"/>
            </w:tcMar>
            <w:hideMark/>
          </w:tcPr>
          <w:p w14:paraId="7F3DB4F3" w14:textId="77777777" w:rsidR="00B51D2B" w:rsidRDefault="00B51D2B">
            <w:pPr>
              <w:rPr>
                <w:color w:val="000000"/>
              </w:rPr>
            </w:pPr>
            <w:proofErr w:type="spellStart"/>
            <w:r>
              <w:rPr>
                <w:color w:val="000000"/>
              </w:rPr>
              <w:t>US$m</w:t>
            </w:r>
            <w:proofErr w:type="spellEnd"/>
          </w:p>
        </w:tc>
        <w:tc>
          <w:tcPr>
            <w:tcW w:w="0" w:type="auto"/>
            <w:tcBorders>
              <w:top w:val="nil"/>
              <w:left w:val="nil"/>
              <w:bottom w:val="nil"/>
              <w:right w:val="nil"/>
            </w:tcBorders>
            <w:tcMar>
              <w:top w:w="150" w:type="dxa"/>
              <w:left w:w="150" w:type="dxa"/>
              <w:bottom w:w="135" w:type="dxa"/>
              <w:right w:w="150" w:type="dxa"/>
            </w:tcMar>
            <w:hideMark/>
          </w:tcPr>
          <w:p w14:paraId="7D53C8C8" w14:textId="77777777" w:rsidR="00B51D2B" w:rsidRDefault="00B51D2B">
            <w:pPr>
              <w:rPr>
                <w:color w:val="000000"/>
              </w:rPr>
            </w:pPr>
            <w:proofErr w:type="spellStart"/>
            <w:r>
              <w:rPr>
                <w:color w:val="000000"/>
              </w:rPr>
              <w:t>US$m</w:t>
            </w:r>
            <w:proofErr w:type="spellEnd"/>
          </w:p>
        </w:tc>
        <w:tc>
          <w:tcPr>
            <w:tcW w:w="0" w:type="auto"/>
            <w:tcBorders>
              <w:top w:val="nil"/>
              <w:left w:val="nil"/>
              <w:bottom w:val="nil"/>
              <w:right w:val="nil"/>
            </w:tcBorders>
            <w:tcMar>
              <w:top w:w="150" w:type="dxa"/>
              <w:left w:w="150" w:type="dxa"/>
              <w:bottom w:w="135" w:type="dxa"/>
              <w:right w:w="150" w:type="dxa"/>
            </w:tcMar>
            <w:hideMark/>
          </w:tcPr>
          <w:p w14:paraId="124AA043" w14:textId="77777777" w:rsidR="00B51D2B" w:rsidRDefault="00B51D2B">
            <w:pPr>
              <w:rPr>
                <w:color w:val="000000"/>
              </w:rPr>
            </w:pPr>
            <w:proofErr w:type="spellStart"/>
            <w:r>
              <w:rPr>
                <w:color w:val="000000"/>
              </w:rPr>
              <w:t>US$m</w:t>
            </w:r>
            <w:proofErr w:type="spellEnd"/>
          </w:p>
        </w:tc>
        <w:tc>
          <w:tcPr>
            <w:tcW w:w="0" w:type="auto"/>
            <w:tcBorders>
              <w:top w:val="nil"/>
              <w:left w:val="nil"/>
              <w:bottom w:val="nil"/>
              <w:right w:val="nil"/>
            </w:tcBorders>
            <w:tcMar>
              <w:top w:w="150" w:type="dxa"/>
              <w:left w:w="150" w:type="dxa"/>
              <w:bottom w:w="135" w:type="dxa"/>
              <w:right w:w="225" w:type="dxa"/>
            </w:tcMar>
            <w:hideMark/>
          </w:tcPr>
          <w:p w14:paraId="53F2EAB4" w14:textId="77777777" w:rsidR="00B51D2B" w:rsidRDefault="00B51D2B">
            <w:pPr>
              <w:rPr>
                <w:color w:val="000000"/>
              </w:rPr>
            </w:pPr>
            <w:proofErr w:type="spellStart"/>
            <w:r>
              <w:rPr>
                <w:color w:val="000000"/>
              </w:rPr>
              <w:t>US$m</w:t>
            </w:r>
            <w:proofErr w:type="spellEnd"/>
          </w:p>
        </w:tc>
      </w:tr>
      <w:tr w:rsidR="00B51D2B" w14:paraId="70040217" w14:textId="77777777" w:rsidTr="00B51D2B">
        <w:tc>
          <w:tcPr>
            <w:tcW w:w="0" w:type="auto"/>
            <w:tcBorders>
              <w:top w:val="nil"/>
              <w:left w:val="nil"/>
              <w:bottom w:val="nil"/>
              <w:right w:val="nil"/>
            </w:tcBorders>
            <w:tcMar>
              <w:top w:w="150" w:type="dxa"/>
              <w:left w:w="225" w:type="dxa"/>
              <w:bottom w:w="135" w:type="dxa"/>
              <w:right w:w="150" w:type="dxa"/>
            </w:tcMar>
            <w:hideMark/>
          </w:tcPr>
          <w:p w14:paraId="3886282B"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0DBFBB90"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0F8B30CC"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69DBBF66"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2E4A9C39"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225" w:type="dxa"/>
            </w:tcMar>
            <w:hideMark/>
          </w:tcPr>
          <w:p w14:paraId="7F580D52" w14:textId="77777777" w:rsidR="00B51D2B" w:rsidRDefault="00B51D2B">
            <w:pPr>
              <w:rPr>
                <w:color w:val="000000"/>
              </w:rPr>
            </w:pPr>
            <w:r>
              <w:rPr>
                <w:color w:val="000000"/>
              </w:rPr>
              <w:t> </w:t>
            </w:r>
          </w:p>
        </w:tc>
      </w:tr>
      <w:tr w:rsidR="00B51D2B" w14:paraId="32EFC1BA" w14:textId="77777777" w:rsidTr="00B51D2B">
        <w:tc>
          <w:tcPr>
            <w:tcW w:w="0" w:type="auto"/>
            <w:tcBorders>
              <w:top w:val="nil"/>
              <w:left w:val="nil"/>
              <w:bottom w:val="nil"/>
              <w:right w:val="nil"/>
            </w:tcBorders>
            <w:tcMar>
              <w:top w:w="150" w:type="dxa"/>
              <w:left w:w="225" w:type="dxa"/>
              <w:bottom w:w="135" w:type="dxa"/>
              <w:right w:w="150" w:type="dxa"/>
            </w:tcMar>
            <w:hideMark/>
          </w:tcPr>
          <w:p w14:paraId="64D11D92" w14:textId="77777777" w:rsidR="00B51D2B" w:rsidRDefault="00B51D2B">
            <w:pPr>
              <w:rPr>
                <w:color w:val="000000"/>
              </w:rPr>
            </w:pPr>
            <w:r>
              <w:rPr>
                <w:color w:val="000000"/>
              </w:rPr>
              <w:t>Reduced labour costs</w:t>
            </w:r>
          </w:p>
        </w:tc>
        <w:tc>
          <w:tcPr>
            <w:tcW w:w="0" w:type="auto"/>
            <w:tcBorders>
              <w:top w:val="nil"/>
              <w:left w:val="nil"/>
              <w:bottom w:val="nil"/>
              <w:right w:val="nil"/>
            </w:tcBorders>
            <w:tcMar>
              <w:top w:w="150" w:type="dxa"/>
              <w:left w:w="150" w:type="dxa"/>
              <w:bottom w:w="135" w:type="dxa"/>
              <w:right w:w="150" w:type="dxa"/>
            </w:tcMar>
            <w:hideMark/>
          </w:tcPr>
          <w:p w14:paraId="45685590" w14:textId="77777777" w:rsidR="00B51D2B" w:rsidRDefault="00B51D2B">
            <w:pPr>
              <w:rPr>
                <w:color w:val="000000"/>
              </w:rPr>
            </w:pPr>
            <w:r>
              <w:rPr>
                <w:color w:val="000000"/>
              </w:rPr>
              <w:t>40</w:t>
            </w:r>
          </w:p>
        </w:tc>
        <w:tc>
          <w:tcPr>
            <w:tcW w:w="0" w:type="auto"/>
            <w:tcBorders>
              <w:top w:val="nil"/>
              <w:left w:val="nil"/>
              <w:bottom w:val="nil"/>
              <w:right w:val="nil"/>
            </w:tcBorders>
            <w:tcMar>
              <w:top w:w="150" w:type="dxa"/>
              <w:left w:w="150" w:type="dxa"/>
              <w:bottom w:w="135" w:type="dxa"/>
              <w:right w:w="150" w:type="dxa"/>
            </w:tcMar>
            <w:hideMark/>
          </w:tcPr>
          <w:p w14:paraId="4EA741E3" w14:textId="77777777" w:rsidR="00B51D2B" w:rsidRDefault="00B51D2B">
            <w:pPr>
              <w:rPr>
                <w:color w:val="000000"/>
              </w:rPr>
            </w:pPr>
            <w:r>
              <w:rPr>
                <w:color w:val="000000"/>
              </w:rPr>
              <w:t>38</w:t>
            </w:r>
          </w:p>
        </w:tc>
        <w:tc>
          <w:tcPr>
            <w:tcW w:w="0" w:type="auto"/>
            <w:tcBorders>
              <w:top w:val="nil"/>
              <w:left w:val="nil"/>
              <w:bottom w:val="nil"/>
              <w:right w:val="nil"/>
            </w:tcBorders>
            <w:tcMar>
              <w:top w:w="150" w:type="dxa"/>
              <w:left w:w="150" w:type="dxa"/>
              <w:bottom w:w="135" w:type="dxa"/>
              <w:right w:w="150" w:type="dxa"/>
            </w:tcMar>
            <w:hideMark/>
          </w:tcPr>
          <w:p w14:paraId="019793BC" w14:textId="77777777" w:rsidR="00B51D2B" w:rsidRDefault="00B51D2B">
            <w:pPr>
              <w:rPr>
                <w:color w:val="000000"/>
              </w:rPr>
            </w:pPr>
            <w:r>
              <w:rPr>
                <w:color w:val="000000"/>
              </w:rPr>
              <w:t>36</w:t>
            </w:r>
          </w:p>
        </w:tc>
        <w:tc>
          <w:tcPr>
            <w:tcW w:w="0" w:type="auto"/>
            <w:tcBorders>
              <w:top w:val="nil"/>
              <w:left w:val="nil"/>
              <w:bottom w:val="nil"/>
              <w:right w:val="nil"/>
            </w:tcBorders>
            <w:tcMar>
              <w:top w:w="150" w:type="dxa"/>
              <w:left w:w="150" w:type="dxa"/>
              <w:bottom w:w="135" w:type="dxa"/>
              <w:right w:w="150" w:type="dxa"/>
            </w:tcMar>
            <w:hideMark/>
          </w:tcPr>
          <w:p w14:paraId="2F0B46D9" w14:textId="77777777" w:rsidR="00B51D2B" w:rsidRDefault="00B51D2B">
            <w:pPr>
              <w:rPr>
                <w:color w:val="000000"/>
              </w:rPr>
            </w:pPr>
            <w:r>
              <w:rPr>
                <w:color w:val="000000"/>
              </w:rPr>
              <w:t>34</w:t>
            </w:r>
          </w:p>
        </w:tc>
        <w:tc>
          <w:tcPr>
            <w:tcW w:w="0" w:type="auto"/>
            <w:tcBorders>
              <w:top w:val="nil"/>
              <w:left w:val="nil"/>
              <w:bottom w:val="nil"/>
              <w:right w:val="nil"/>
            </w:tcBorders>
            <w:tcMar>
              <w:top w:w="150" w:type="dxa"/>
              <w:left w:w="150" w:type="dxa"/>
              <w:bottom w:w="135" w:type="dxa"/>
              <w:right w:w="225" w:type="dxa"/>
            </w:tcMar>
            <w:hideMark/>
          </w:tcPr>
          <w:p w14:paraId="5EA9CB79" w14:textId="77777777" w:rsidR="00B51D2B" w:rsidRDefault="00B51D2B">
            <w:pPr>
              <w:rPr>
                <w:color w:val="000000"/>
              </w:rPr>
            </w:pPr>
            <w:r>
              <w:rPr>
                <w:color w:val="000000"/>
              </w:rPr>
              <w:t>32</w:t>
            </w:r>
          </w:p>
        </w:tc>
      </w:tr>
      <w:tr w:rsidR="00B51D2B" w14:paraId="35DF0F87" w14:textId="77777777" w:rsidTr="00B51D2B">
        <w:tc>
          <w:tcPr>
            <w:tcW w:w="0" w:type="auto"/>
            <w:tcBorders>
              <w:top w:val="nil"/>
              <w:left w:val="nil"/>
              <w:bottom w:val="nil"/>
              <w:right w:val="nil"/>
            </w:tcBorders>
            <w:tcMar>
              <w:top w:w="150" w:type="dxa"/>
              <w:left w:w="225" w:type="dxa"/>
              <w:bottom w:w="135" w:type="dxa"/>
              <w:right w:w="150" w:type="dxa"/>
            </w:tcMar>
            <w:hideMark/>
          </w:tcPr>
          <w:p w14:paraId="32E7D9C8" w14:textId="77777777" w:rsidR="00B51D2B" w:rsidRDefault="00B51D2B">
            <w:pPr>
              <w:rPr>
                <w:color w:val="000000"/>
              </w:rPr>
            </w:pPr>
            <w:r>
              <w:rPr>
                <w:color w:val="000000"/>
              </w:rPr>
              <w:t>Savings on distribution costs</w:t>
            </w:r>
          </w:p>
        </w:tc>
        <w:tc>
          <w:tcPr>
            <w:tcW w:w="0" w:type="auto"/>
            <w:tcBorders>
              <w:top w:val="nil"/>
              <w:left w:val="nil"/>
              <w:bottom w:val="nil"/>
              <w:right w:val="nil"/>
            </w:tcBorders>
            <w:tcMar>
              <w:top w:w="150" w:type="dxa"/>
              <w:left w:w="150" w:type="dxa"/>
              <w:bottom w:w="135" w:type="dxa"/>
              <w:right w:w="150" w:type="dxa"/>
            </w:tcMar>
            <w:hideMark/>
          </w:tcPr>
          <w:p w14:paraId="039AA600" w14:textId="77777777" w:rsidR="00B51D2B" w:rsidRDefault="00B51D2B">
            <w:pPr>
              <w:rPr>
                <w:color w:val="000000"/>
              </w:rPr>
            </w:pPr>
            <w:r>
              <w:rPr>
                <w:color w:val="000000"/>
              </w:rPr>
              <w:t>20</w:t>
            </w:r>
          </w:p>
        </w:tc>
        <w:tc>
          <w:tcPr>
            <w:tcW w:w="0" w:type="auto"/>
            <w:tcBorders>
              <w:top w:val="nil"/>
              <w:left w:val="nil"/>
              <w:bottom w:val="nil"/>
              <w:right w:val="nil"/>
            </w:tcBorders>
            <w:tcMar>
              <w:top w:w="150" w:type="dxa"/>
              <w:left w:w="150" w:type="dxa"/>
              <w:bottom w:w="135" w:type="dxa"/>
              <w:right w:w="150" w:type="dxa"/>
            </w:tcMar>
            <w:hideMark/>
          </w:tcPr>
          <w:p w14:paraId="5EDF0765" w14:textId="77777777" w:rsidR="00B51D2B" w:rsidRDefault="00B51D2B">
            <w:pPr>
              <w:rPr>
                <w:color w:val="000000"/>
              </w:rPr>
            </w:pPr>
            <w:r>
              <w:rPr>
                <w:color w:val="000000"/>
              </w:rPr>
              <w:t>20</w:t>
            </w:r>
          </w:p>
        </w:tc>
        <w:tc>
          <w:tcPr>
            <w:tcW w:w="0" w:type="auto"/>
            <w:tcBorders>
              <w:top w:val="nil"/>
              <w:left w:val="nil"/>
              <w:bottom w:val="nil"/>
              <w:right w:val="nil"/>
            </w:tcBorders>
            <w:tcMar>
              <w:top w:w="150" w:type="dxa"/>
              <w:left w:w="150" w:type="dxa"/>
              <w:bottom w:w="135" w:type="dxa"/>
              <w:right w:w="150" w:type="dxa"/>
            </w:tcMar>
            <w:hideMark/>
          </w:tcPr>
          <w:p w14:paraId="2D2B8CC7" w14:textId="77777777" w:rsidR="00B51D2B" w:rsidRDefault="00B51D2B">
            <w:pPr>
              <w:rPr>
                <w:color w:val="000000"/>
              </w:rPr>
            </w:pPr>
            <w:r>
              <w:rPr>
                <w:color w:val="000000"/>
              </w:rPr>
              <w:t>20</w:t>
            </w:r>
          </w:p>
        </w:tc>
        <w:tc>
          <w:tcPr>
            <w:tcW w:w="0" w:type="auto"/>
            <w:tcBorders>
              <w:top w:val="nil"/>
              <w:left w:val="nil"/>
              <w:bottom w:val="nil"/>
              <w:right w:val="nil"/>
            </w:tcBorders>
            <w:tcMar>
              <w:top w:w="150" w:type="dxa"/>
              <w:left w:w="150" w:type="dxa"/>
              <w:bottom w:w="135" w:type="dxa"/>
              <w:right w:w="150" w:type="dxa"/>
            </w:tcMar>
            <w:hideMark/>
          </w:tcPr>
          <w:p w14:paraId="7AC47506" w14:textId="77777777" w:rsidR="00B51D2B" w:rsidRDefault="00B51D2B">
            <w:pPr>
              <w:rPr>
                <w:color w:val="000000"/>
              </w:rPr>
            </w:pPr>
            <w:r>
              <w:rPr>
                <w:color w:val="000000"/>
              </w:rPr>
              <w:t>20</w:t>
            </w:r>
          </w:p>
        </w:tc>
        <w:tc>
          <w:tcPr>
            <w:tcW w:w="0" w:type="auto"/>
            <w:tcBorders>
              <w:top w:val="nil"/>
              <w:left w:val="nil"/>
              <w:bottom w:val="nil"/>
              <w:right w:val="nil"/>
            </w:tcBorders>
            <w:tcMar>
              <w:top w:w="150" w:type="dxa"/>
              <w:left w:w="150" w:type="dxa"/>
              <w:bottom w:w="135" w:type="dxa"/>
              <w:right w:w="225" w:type="dxa"/>
            </w:tcMar>
            <w:hideMark/>
          </w:tcPr>
          <w:p w14:paraId="5DCA5300" w14:textId="77777777" w:rsidR="00B51D2B" w:rsidRDefault="00B51D2B">
            <w:pPr>
              <w:rPr>
                <w:color w:val="000000"/>
              </w:rPr>
            </w:pPr>
            <w:r>
              <w:rPr>
                <w:color w:val="000000"/>
              </w:rPr>
              <w:t>20</w:t>
            </w:r>
          </w:p>
        </w:tc>
      </w:tr>
    </w:tbl>
    <w:p w14:paraId="4963706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corporate tax rate for FDI investors in Mexico is 5% based on sales value for the relevant </w:t>
      </w:r>
      <w:proofErr w:type="gramStart"/>
      <w:r>
        <w:rPr>
          <w:rFonts w:ascii="Arial" w:hAnsi="Arial" w:cs="Arial"/>
          <w:color w:val="000000"/>
          <w:sz w:val="21"/>
          <w:szCs w:val="21"/>
        </w:rPr>
        <w:t>year, and</w:t>
      </w:r>
      <w:proofErr w:type="gramEnd"/>
      <w:r>
        <w:rPr>
          <w:rFonts w:ascii="Arial" w:hAnsi="Arial" w:cs="Arial"/>
          <w:color w:val="000000"/>
          <w:sz w:val="21"/>
          <w:szCs w:val="21"/>
        </w:rPr>
        <w:t xml:space="preserve"> is paid one year in arrears.</w:t>
      </w:r>
    </w:p>
    <w:p w14:paraId="06DD0342"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By relocating to </w:t>
      </w:r>
      <w:proofErr w:type="gramStart"/>
      <w:r>
        <w:rPr>
          <w:rFonts w:ascii="Arial" w:hAnsi="Arial" w:cs="Arial"/>
          <w:color w:val="000000"/>
          <w:sz w:val="21"/>
          <w:szCs w:val="21"/>
        </w:rPr>
        <w:t>Mexico</w:t>
      </w:r>
      <w:proofErr w:type="gramEnd"/>
      <w:r>
        <w:rPr>
          <w:rFonts w:ascii="Arial" w:hAnsi="Arial" w:cs="Arial"/>
          <w:color w:val="000000"/>
          <w:sz w:val="21"/>
          <w:szCs w:val="21"/>
        </w:rPr>
        <w:t xml:space="preserve"> it is expected that sales demand will increase 20% compound per annum over the 2016 sales units achieved from the China plant. The reduced cost base on relocating to Mexico is expected to enable a reduced pricing point of US$35 per unit of product (on average), thus generating the additional sales demand. A net margin of 15% is assumed on the additional sales.</w:t>
      </w:r>
    </w:p>
    <w:p w14:paraId="67D29F8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An estimate of US$30m per annum (in current terms) has been computed for the allocation of central fixed costs of the parent entity to this activity.</w:t>
      </w:r>
    </w:p>
    <w:p w14:paraId="163F638D"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Plant closure and wind down costs of the China facility are expected to be equivalent of US$80m, with 30% payable now, and the balance payable at the end of year 1. As part of the conditions for the original investment in China (and any incentives received by Fusion), the sale of the plant and associated lands in China cannot be realised until year 3 post cessation of </w:t>
      </w:r>
      <w:r>
        <w:rPr>
          <w:rFonts w:ascii="Arial" w:hAnsi="Arial" w:cs="Arial"/>
          <w:color w:val="000000"/>
          <w:sz w:val="21"/>
          <w:szCs w:val="21"/>
        </w:rPr>
        <w:lastRenderedPageBreak/>
        <w:t>activities. The expected net sales value in year 3 is US$260m. The land in China had an original cost of US$45m.</w:t>
      </w:r>
      <w:r>
        <w:rPr>
          <w:rStyle w:val="apple-converted-space"/>
          <w:rFonts w:ascii="Arial" w:hAnsi="Arial" w:cs="Arial"/>
          <w:color w:val="000000"/>
          <w:sz w:val="21"/>
          <w:szCs w:val="21"/>
        </w:rPr>
        <w:t> </w:t>
      </w:r>
    </w:p>
    <w:p w14:paraId="18DAD9B6"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Ignore inflation.</w:t>
      </w:r>
    </w:p>
    <w:p w14:paraId="1EDEEB8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All transactions have been reflected in US$ as part of the capital proposal generation.</w:t>
      </w:r>
    </w:p>
    <w:p w14:paraId="68FDFCF8" w14:textId="4FBCEE74"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There is no tax impact on transactions included in the NPV analysis associated with the China facility. The capital grant received from Mexico is not subject to tax in Mexico.</w:t>
      </w:r>
    </w:p>
    <w:p w14:paraId="72DEA403" w14:textId="5F944F97" w:rsidR="00B51D2B" w:rsidRDefault="00B51D2B" w:rsidP="00B51D2B">
      <w:pPr>
        <w:rPr>
          <w:rFonts w:ascii="Times New Roman" w:hAnsi="Times New Roman" w:cs="Times New Roman"/>
        </w:rPr>
      </w:pPr>
    </w:p>
    <w:p w14:paraId="47067943" w14:textId="77777777" w:rsidR="00B51D2B" w:rsidRDefault="00B51D2B" w:rsidP="00B51D2B">
      <w:pPr>
        <w:pStyle w:val="Heading1"/>
        <w:spacing w:before="0" w:beforeAutospacing="0" w:after="150" w:afterAutospacing="0"/>
        <w:rPr>
          <w:rFonts w:ascii="inherit" w:hAnsi="inherit" w:cs="Arial"/>
          <w:color w:val="002158"/>
          <w:sz w:val="31"/>
          <w:szCs w:val="31"/>
        </w:rPr>
      </w:pPr>
      <w:r>
        <w:rPr>
          <w:rFonts w:ascii="inherit" w:hAnsi="inherit" w:cs="Arial"/>
          <w:color w:val="002158"/>
          <w:sz w:val="31"/>
          <w:szCs w:val="31"/>
        </w:rPr>
        <w:t>Appendix 7: Weighted Average Cost of Capital</w:t>
      </w:r>
    </w:p>
    <w:p w14:paraId="5E66E43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Fusion is looking to compare its weighted average cost of capital with competitors in the </w:t>
      </w:r>
      <w:proofErr w:type="gramStart"/>
      <w:r>
        <w:rPr>
          <w:rFonts w:ascii="Arial" w:hAnsi="Arial" w:cs="Arial"/>
          <w:color w:val="000000"/>
          <w:sz w:val="21"/>
          <w:szCs w:val="21"/>
        </w:rPr>
        <w:t>market place</w:t>
      </w:r>
      <w:proofErr w:type="gramEnd"/>
      <w:r>
        <w:rPr>
          <w:rFonts w:ascii="Arial" w:hAnsi="Arial" w:cs="Arial"/>
          <w:color w:val="000000"/>
          <w:sz w:val="21"/>
          <w:szCs w:val="21"/>
        </w:rPr>
        <w:t>. You have been provided with the following comparator information following an analysis conducted of a competitor which is a publicly quoted company.</w:t>
      </w:r>
    </w:p>
    <w:tbl>
      <w:tblPr>
        <w:tblW w:w="8520" w:type="dxa"/>
        <w:tblCellMar>
          <w:top w:w="15" w:type="dxa"/>
          <w:left w:w="15" w:type="dxa"/>
          <w:bottom w:w="15" w:type="dxa"/>
          <w:right w:w="15" w:type="dxa"/>
        </w:tblCellMar>
        <w:tblLook w:val="04A0" w:firstRow="1" w:lastRow="0" w:firstColumn="1" w:lastColumn="0" w:noHBand="0" w:noVBand="1"/>
      </w:tblPr>
      <w:tblGrid>
        <w:gridCol w:w="6311"/>
        <w:gridCol w:w="2209"/>
      </w:tblGrid>
      <w:tr w:rsidR="00B51D2B" w14:paraId="1597774F" w14:textId="77777777" w:rsidTr="00B51D2B">
        <w:tc>
          <w:tcPr>
            <w:tcW w:w="0" w:type="auto"/>
            <w:tcBorders>
              <w:top w:val="nil"/>
              <w:left w:val="nil"/>
              <w:bottom w:val="nil"/>
              <w:right w:val="nil"/>
            </w:tcBorders>
            <w:tcMar>
              <w:top w:w="150" w:type="dxa"/>
              <w:left w:w="225" w:type="dxa"/>
              <w:bottom w:w="135" w:type="dxa"/>
              <w:right w:w="150" w:type="dxa"/>
            </w:tcMar>
            <w:hideMark/>
          </w:tcPr>
          <w:p w14:paraId="2C4D1860" w14:textId="77777777" w:rsidR="00B51D2B" w:rsidRDefault="00B51D2B">
            <w:pPr>
              <w:rPr>
                <w:rFonts w:ascii="Times New Roman" w:hAnsi="Times New Roman" w:cs="Times New Roman"/>
                <w:color w:val="000000"/>
              </w:rPr>
            </w:pPr>
            <w:r>
              <w:rPr>
                <w:color w:val="000000"/>
              </w:rPr>
              <w:t>Number of authorised ordinary shares </w:t>
            </w:r>
          </w:p>
        </w:tc>
        <w:tc>
          <w:tcPr>
            <w:tcW w:w="0" w:type="auto"/>
            <w:tcBorders>
              <w:top w:val="nil"/>
              <w:left w:val="nil"/>
              <w:bottom w:val="nil"/>
              <w:right w:val="nil"/>
            </w:tcBorders>
            <w:tcMar>
              <w:top w:w="150" w:type="dxa"/>
              <w:left w:w="150" w:type="dxa"/>
              <w:bottom w:w="135" w:type="dxa"/>
              <w:right w:w="225" w:type="dxa"/>
            </w:tcMar>
            <w:hideMark/>
          </w:tcPr>
          <w:p w14:paraId="24ACD5EC" w14:textId="77777777" w:rsidR="00B51D2B" w:rsidRDefault="00B51D2B">
            <w:pPr>
              <w:rPr>
                <w:color w:val="000000"/>
              </w:rPr>
            </w:pPr>
            <w:r>
              <w:rPr>
                <w:color w:val="000000"/>
              </w:rPr>
              <w:t>100,000,000</w:t>
            </w:r>
          </w:p>
        </w:tc>
      </w:tr>
      <w:tr w:rsidR="00B51D2B" w14:paraId="1E23F485" w14:textId="77777777" w:rsidTr="00B51D2B">
        <w:tc>
          <w:tcPr>
            <w:tcW w:w="0" w:type="auto"/>
            <w:tcBorders>
              <w:top w:val="nil"/>
              <w:left w:val="nil"/>
              <w:bottom w:val="nil"/>
              <w:right w:val="nil"/>
            </w:tcBorders>
            <w:tcMar>
              <w:top w:w="150" w:type="dxa"/>
              <w:left w:w="225" w:type="dxa"/>
              <w:bottom w:w="135" w:type="dxa"/>
              <w:right w:w="150" w:type="dxa"/>
            </w:tcMar>
            <w:hideMark/>
          </w:tcPr>
          <w:p w14:paraId="6EC8CA7E" w14:textId="77777777" w:rsidR="00B51D2B" w:rsidRDefault="00B51D2B">
            <w:pPr>
              <w:rPr>
                <w:color w:val="000000"/>
              </w:rPr>
            </w:pPr>
            <w:r>
              <w:rPr>
                <w:color w:val="000000"/>
              </w:rPr>
              <w:t>Number of issued ordinary shares</w:t>
            </w:r>
          </w:p>
        </w:tc>
        <w:tc>
          <w:tcPr>
            <w:tcW w:w="0" w:type="auto"/>
            <w:tcBorders>
              <w:top w:val="nil"/>
              <w:left w:val="nil"/>
              <w:bottom w:val="nil"/>
              <w:right w:val="nil"/>
            </w:tcBorders>
            <w:tcMar>
              <w:top w:w="150" w:type="dxa"/>
              <w:left w:w="150" w:type="dxa"/>
              <w:bottom w:w="135" w:type="dxa"/>
              <w:right w:w="225" w:type="dxa"/>
            </w:tcMar>
            <w:hideMark/>
          </w:tcPr>
          <w:p w14:paraId="280D37D7" w14:textId="77777777" w:rsidR="00B51D2B" w:rsidRDefault="00B51D2B">
            <w:pPr>
              <w:rPr>
                <w:color w:val="000000"/>
              </w:rPr>
            </w:pPr>
            <w:r>
              <w:rPr>
                <w:color w:val="000000"/>
              </w:rPr>
              <w:t>50,000,000</w:t>
            </w:r>
          </w:p>
        </w:tc>
      </w:tr>
      <w:tr w:rsidR="00B51D2B" w14:paraId="67466A39" w14:textId="77777777" w:rsidTr="00B51D2B">
        <w:tc>
          <w:tcPr>
            <w:tcW w:w="0" w:type="auto"/>
            <w:tcBorders>
              <w:top w:val="nil"/>
              <w:left w:val="nil"/>
              <w:bottom w:val="nil"/>
              <w:right w:val="nil"/>
            </w:tcBorders>
            <w:tcMar>
              <w:top w:w="150" w:type="dxa"/>
              <w:left w:w="225" w:type="dxa"/>
              <w:bottom w:w="135" w:type="dxa"/>
              <w:right w:w="150" w:type="dxa"/>
            </w:tcMar>
            <w:hideMark/>
          </w:tcPr>
          <w:p w14:paraId="64685BBF" w14:textId="77777777" w:rsidR="00B51D2B" w:rsidRDefault="00B51D2B">
            <w:pPr>
              <w:rPr>
                <w:color w:val="000000"/>
              </w:rPr>
            </w:pPr>
            <w:r>
              <w:rPr>
                <w:color w:val="000000"/>
              </w:rPr>
              <w:t>Nominal value of ordinary share</w:t>
            </w:r>
          </w:p>
        </w:tc>
        <w:tc>
          <w:tcPr>
            <w:tcW w:w="0" w:type="auto"/>
            <w:tcBorders>
              <w:top w:val="nil"/>
              <w:left w:val="nil"/>
              <w:bottom w:val="nil"/>
              <w:right w:val="nil"/>
            </w:tcBorders>
            <w:tcMar>
              <w:top w:w="150" w:type="dxa"/>
              <w:left w:w="150" w:type="dxa"/>
              <w:bottom w:w="135" w:type="dxa"/>
              <w:right w:w="225" w:type="dxa"/>
            </w:tcMar>
            <w:hideMark/>
          </w:tcPr>
          <w:p w14:paraId="12948887" w14:textId="77777777" w:rsidR="00B51D2B" w:rsidRDefault="00B51D2B">
            <w:pPr>
              <w:rPr>
                <w:color w:val="000000"/>
              </w:rPr>
            </w:pPr>
            <w:r>
              <w:rPr>
                <w:color w:val="000000"/>
              </w:rPr>
              <w:t>£1</w:t>
            </w:r>
          </w:p>
        </w:tc>
      </w:tr>
      <w:tr w:rsidR="00B51D2B" w14:paraId="3D2A3987" w14:textId="77777777" w:rsidTr="00B51D2B">
        <w:tc>
          <w:tcPr>
            <w:tcW w:w="0" w:type="auto"/>
            <w:tcBorders>
              <w:top w:val="nil"/>
              <w:left w:val="nil"/>
              <w:bottom w:val="nil"/>
              <w:right w:val="nil"/>
            </w:tcBorders>
            <w:tcMar>
              <w:top w:w="150" w:type="dxa"/>
              <w:left w:w="225" w:type="dxa"/>
              <w:bottom w:w="135" w:type="dxa"/>
              <w:right w:w="150" w:type="dxa"/>
            </w:tcMar>
            <w:hideMark/>
          </w:tcPr>
          <w:p w14:paraId="1365FBFB" w14:textId="77777777" w:rsidR="00B51D2B" w:rsidRDefault="00B51D2B">
            <w:pPr>
              <w:rPr>
                <w:color w:val="000000"/>
              </w:rPr>
            </w:pPr>
            <w:r>
              <w:rPr>
                <w:color w:val="000000"/>
              </w:rPr>
              <w:t>Beta</w:t>
            </w:r>
          </w:p>
        </w:tc>
        <w:tc>
          <w:tcPr>
            <w:tcW w:w="0" w:type="auto"/>
            <w:tcBorders>
              <w:top w:val="nil"/>
              <w:left w:val="nil"/>
              <w:bottom w:val="nil"/>
              <w:right w:val="nil"/>
            </w:tcBorders>
            <w:tcMar>
              <w:top w:w="150" w:type="dxa"/>
              <w:left w:w="150" w:type="dxa"/>
              <w:bottom w:w="135" w:type="dxa"/>
              <w:right w:w="225" w:type="dxa"/>
            </w:tcMar>
            <w:hideMark/>
          </w:tcPr>
          <w:p w14:paraId="4A80758B" w14:textId="77777777" w:rsidR="00B51D2B" w:rsidRDefault="00B51D2B">
            <w:pPr>
              <w:rPr>
                <w:color w:val="000000"/>
              </w:rPr>
            </w:pPr>
            <w:r>
              <w:rPr>
                <w:color w:val="000000"/>
              </w:rPr>
              <w:t>1.5</w:t>
            </w:r>
          </w:p>
        </w:tc>
      </w:tr>
      <w:tr w:rsidR="00B51D2B" w14:paraId="4967F3DB" w14:textId="77777777" w:rsidTr="00B51D2B">
        <w:tc>
          <w:tcPr>
            <w:tcW w:w="0" w:type="auto"/>
            <w:tcBorders>
              <w:top w:val="nil"/>
              <w:left w:val="nil"/>
              <w:bottom w:val="nil"/>
              <w:right w:val="nil"/>
            </w:tcBorders>
            <w:tcMar>
              <w:top w:w="150" w:type="dxa"/>
              <w:left w:w="225" w:type="dxa"/>
              <w:bottom w:w="135" w:type="dxa"/>
              <w:right w:w="150" w:type="dxa"/>
            </w:tcMar>
            <w:hideMark/>
          </w:tcPr>
          <w:p w14:paraId="17EDB654" w14:textId="77777777" w:rsidR="00B51D2B" w:rsidRDefault="00B51D2B">
            <w:pPr>
              <w:rPr>
                <w:color w:val="000000"/>
              </w:rPr>
            </w:pPr>
            <w:r>
              <w:rPr>
                <w:color w:val="000000"/>
              </w:rPr>
              <w:t>Retained earnings </w:t>
            </w:r>
          </w:p>
        </w:tc>
        <w:tc>
          <w:tcPr>
            <w:tcW w:w="0" w:type="auto"/>
            <w:tcBorders>
              <w:top w:val="nil"/>
              <w:left w:val="nil"/>
              <w:bottom w:val="nil"/>
              <w:right w:val="nil"/>
            </w:tcBorders>
            <w:tcMar>
              <w:top w:w="150" w:type="dxa"/>
              <w:left w:w="150" w:type="dxa"/>
              <w:bottom w:w="135" w:type="dxa"/>
              <w:right w:w="225" w:type="dxa"/>
            </w:tcMar>
            <w:hideMark/>
          </w:tcPr>
          <w:p w14:paraId="15787688" w14:textId="77777777" w:rsidR="00B51D2B" w:rsidRDefault="00B51D2B">
            <w:pPr>
              <w:rPr>
                <w:color w:val="000000"/>
              </w:rPr>
            </w:pPr>
            <w:r>
              <w:rPr>
                <w:color w:val="000000"/>
              </w:rPr>
              <w:t>£550,000,000</w:t>
            </w:r>
          </w:p>
        </w:tc>
      </w:tr>
      <w:tr w:rsidR="00B51D2B" w14:paraId="6E1B9CA6" w14:textId="77777777" w:rsidTr="00B51D2B">
        <w:tc>
          <w:tcPr>
            <w:tcW w:w="0" w:type="auto"/>
            <w:tcBorders>
              <w:top w:val="nil"/>
              <w:left w:val="nil"/>
              <w:bottom w:val="nil"/>
              <w:right w:val="nil"/>
            </w:tcBorders>
            <w:tcMar>
              <w:top w:w="150" w:type="dxa"/>
              <w:left w:w="225" w:type="dxa"/>
              <w:bottom w:w="135" w:type="dxa"/>
              <w:right w:w="150" w:type="dxa"/>
            </w:tcMar>
            <w:hideMark/>
          </w:tcPr>
          <w:p w14:paraId="3402F818" w14:textId="77777777" w:rsidR="00B51D2B" w:rsidRDefault="00B51D2B">
            <w:pPr>
              <w:rPr>
                <w:color w:val="000000"/>
              </w:rPr>
            </w:pPr>
            <w:r>
              <w:rPr>
                <w:color w:val="000000"/>
              </w:rPr>
              <w:t>Current share market price  </w:t>
            </w:r>
          </w:p>
        </w:tc>
        <w:tc>
          <w:tcPr>
            <w:tcW w:w="0" w:type="auto"/>
            <w:tcBorders>
              <w:top w:val="nil"/>
              <w:left w:val="nil"/>
              <w:bottom w:val="nil"/>
              <w:right w:val="nil"/>
            </w:tcBorders>
            <w:tcMar>
              <w:top w:w="150" w:type="dxa"/>
              <w:left w:w="150" w:type="dxa"/>
              <w:bottom w:w="135" w:type="dxa"/>
              <w:right w:w="225" w:type="dxa"/>
            </w:tcMar>
            <w:hideMark/>
          </w:tcPr>
          <w:p w14:paraId="70F47AE5" w14:textId="77777777" w:rsidR="00B51D2B" w:rsidRDefault="00B51D2B">
            <w:pPr>
              <w:rPr>
                <w:color w:val="000000"/>
              </w:rPr>
            </w:pPr>
            <w:r>
              <w:rPr>
                <w:color w:val="000000"/>
              </w:rPr>
              <w:t>£15.50</w:t>
            </w:r>
          </w:p>
        </w:tc>
      </w:tr>
      <w:tr w:rsidR="00B51D2B" w14:paraId="42126C16" w14:textId="77777777" w:rsidTr="00B51D2B">
        <w:tc>
          <w:tcPr>
            <w:tcW w:w="0" w:type="auto"/>
            <w:tcBorders>
              <w:top w:val="nil"/>
              <w:left w:val="nil"/>
              <w:bottom w:val="nil"/>
              <w:right w:val="nil"/>
            </w:tcBorders>
            <w:tcMar>
              <w:top w:w="150" w:type="dxa"/>
              <w:left w:w="225" w:type="dxa"/>
              <w:bottom w:w="135" w:type="dxa"/>
              <w:right w:w="150" w:type="dxa"/>
            </w:tcMar>
            <w:hideMark/>
          </w:tcPr>
          <w:p w14:paraId="34557714" w14:textId="77777777" w:rsidR="00B51D2B" w:rsidRDefault="00B51D2B">
            <w:pPr>
              <w:rPr>
                <w:color w:val="000000"/>
              </w:rPr>
            </w:pPr>
            <w:r>
              <w:rPr>
                <w:color w:val="000000"/>
              </w:rPr>
              <w:t>Closing balance of loan debt on balance sheet </w:t>
            </w:r>
          </w:p>
        </w:tc>
        <w:tc>
          <w:tcPr>
            <w:tcW w:w="0" w:type="auto"/>
            <w:tcBorders>
              <w:top w:val="nil"/>
              <w:left w:val="nil"/>
              <w:bottom w:val="nil"/>
              <w:right w:val="nil"/>
            </w:tcBorders>
            <w:tcMar>
              <w:top w:w="150" w:type="dxa"/>
              <w:left w:w="150" w:type="dxa"/>
              <w:bottom w:w="135" w:type="dxa"/>
              <w:right w:w="225" w:type="dxa"/>
            </w:tcMar>
            <w:hideMark/>
          </w:tcPr>
          <w:p w14:paraId="4DC60DF6" w14:textId="77777777" w:rsidR="00B51D2B" w:rsidRDefault="00B51D2B">
            <w:pPr>
              <w:rPr>
                <w:color w:val="000000"/>
              </w:rPr>
            </w:pPr>
            <w:r>
              <w:rPr>
                <w:color w:val="000000"/>
              </w:rPr>
              <w:t>£465,000,000</w:t>
            </w:r>
          </w:p>
        </w:tc>
      </w:tr>
      <w:tr w:rsidR="00B51D2B" w14:paraId="4A7C997C" w14:textId="77777777" w:rsidTr="00B51D2B">
        <w:tc>
          <w:tcPr>
            <w:tcW w:w="0" w:type="auto"/>
            <w:tcBorders>
              <w:top w:val="nil"/>
              <w:left w:val="nil"/>
              <w:bottom w:val="nil"/>
              <w:right w:val="nil"/>
            </w:tcBorders>
            <w:tcMar>
              <w:top w:w="150" w:type="dxa"/>
              <w:left w:w="225" w:type="dxa"/>
              <w:bottom w:w="135" w:type="dxa"/>
              <w:right w:w="150" w:type="dxa"/>
            </w:tcMar>
            <w:hideMark/>
          </w:tcPr>
          <w:p w14:paraId="57C95A0A" w14:textId="77777777" w:rsidR="00B51D2B" w:rsidRDefault="00B51D2B">
            <w:pPr>
              <w:rPr>
                <w:color w:val="000000"/>
              </w:rPr>
            </w:pPr>
            <w:r>
              <w:rPr>
                <w:color w:val="000000"/>
              </w:rPr>
              <w:t>Market risk premium </w:t>
            </w:r>
          </w:p>
        </w:tc>
        <w:tc>
          <w:tcPr>
            <w:tcW w:w="0" w:type="auto"/>
            <w:tcBorders>
              <w:top w:val="nil"/>
              <w:left w:val="nil"/>
              <w:bottom w:val="nil"/>
              <w:right w:val="nil"/>
            </w:tcBorders>
            <w:tcMar>
              <w:top w:w="150" w:type="dxa"/>
              <w:left w:w="150" w:type="dxa"/>
              <w:bottom w:w="135" w:type="dxa"/>
              <w:right w:w="225" w:type="dxa"/>
            </w:tcMar>
            <w:hideMark/>
          </w:tcPr>
          <w:p w14:paraId="62900780" w14:textId="77777777" w:rsidR="00B51D2B" w:rsidRDefault="00B51D2B">
            <w:pPr>
              <w:rPr>
                <w:color w:val="000000"/>
              </w:rPr>
            </w:pPr>
            <w:r>
              <w:rPr>
                <w:color w:val="000000"/>
              </w:rPr>
              <w:t>6%</w:t>
            </w:r>
          </w:p>
        </w:tc>
      </w:tr>
      <w:tr w:rsidR="00B51D2B" w14:paraId="30DEC4ED" w14:textId="77777777" w:rsidTr="00B51D2B">
        <w:tc>
          <w:tcPr>
            <w:tcW w:w="0" w:type="auto"/>
            <w:tcBorders>
              <w:top w:val="nil"/>
              <w:left w:val="nil"/>
              <w:bottom w:val="nil"/>
              <w:right w:val="nil"/>
            </w:tcBorders>
            <w:tcMar>
              <w:top w:w="150" w:type="dxa"/>
              <w:left w:w="225" w:type="dxa"/>
              <w:bottom w:w="135" w:type="dxa"/>
              <w:right w:w="150" w:type="dxa"/>
            </w:tcMar>
            <w:hideMark/>
          </w:tcPr>
          <w:p w14:paraId="2918F7AD" w14:textId="77777777" w:rsidR="00B51D2B" w:rsidRDefault="00B51D2B">
            <w:pPr>
              <w:rPr>
                <w:color w:val="000000"/>
              </w:rPr>
            </w:pPr>
            <w:r>
              <w:rPr>
                <w:color w:val="000000"/>
              </w:rPr>
              <w:t>Risk free rate</w:t>
            </w:r>
          </w:p>
        </w:tc>
        <w:tc>
          <w:tcPr>
            <w:tcW w:w="0" w:type="auto"/>
            <w:tcBorders>
              <w:top w:val="nil"/>
              <w:left w:val="nil"/>
              <w:bottom w:val="nil"/>
              <w:right w:val="nil"/>
            </w:tcBorders>
            <w:tcMar>
              <w:top w:w="150" w:type="dxa"/>
              <w:left w:w="150" w:type="dxa"/>
              <w:bottom w:w="135" w:type="dxa"/>
              <w:right w:w="225" w:type="dxa"/>
            </w:tcMar>
            <w:hideMark/>
          </w:tcPr>
          <w:p w14:paraId="3DE26238" w14:textId="77777777" w:rsidR="00B51D2B" w:rsidRDefault="00B51D2B">
            <w:pPr>
              <w:rPr>
                <w:color w:val="000000"/>
              </w:rPr>
            </w:pPr>
            <w:r>
              <w:rPr>
                <w:color w:val="000000"/>
              </w:rPr>
              <w:t>2%</w:t>
            </w:r>
          </w:p>
        </w:tc>
      </w:tr>
      <w:tr w:rsidR="00B51D2B" w14:paraId="768CA867" w14:textId="77777777" w:rsidTr="00B51D2B">
        <w:tc>
          <w:tcPr>
            <w:tcW w:w="0" w:type="auto"/>
            <w:tcBorders>
              <w:top w:val="nil"/>
              <w:left w:val="nil"/>
              <w:bottom w:val="nil"/>
              <w:right w:val="nil"/>
            </w:tcBorders>
            <w:tcMar>
              <w:top w:w="150" w:type="dxa"/>
              <w:left w:w="225" w:type="dxa"/>
              <w:bottom w:w="135" w:type="dxa"/>
              <w:right w:w="150" w:type="dxa"/>
            </w:tcMar>
            <w:hideMark/>
          </w:tcPr>
          <w:p w14:paraId="6D3595FB" w14:textId="77777777" w:rsidR="00B51D2B" w:rsidRDefault="00B51D2B">
            <w:pPr>
              <w:rPr>
                <w:color w:val="000000"/>
              </w:rPr>
            </w:pPr>
            <w:r>
              <w:rPr>
                <w:color w:val="000000"/>
              </w:rPr>
              <w:t>Credit risk premium </w:t>
            </w:r>
          </w:p>
        </w:tc>
        <w:tc>
          <w:tcPr>
            <w:tcW w:w="0" w:type="auto"/>
            <w:tcBorders>
              <w:top w:val="nil"/>
              <w:left w:val="nil"/>
              <w:bottom w:val="nil"/>
              <w:right w:val="nil"/>
            </w:tcBorders>
            <w:tcMar>
              <w:top w:w="150" w:type="dxa"/>
              <w:left w:w="150" w:type="dxa"/>
              <w:bottom w:w="135" w:type="dxa"/>
              <w:right w:w="225" w:type="dxa"/>
            </w:tcMar>
            <w:hideMark/>
          </w:tcPr>
          <w:p w14:paraId="3BC7AEE0" w14:textId="77777777" w:rsidR="00B51D2B" w:rsidRDefault="00B51D2B">
            <w:pPr>
              <w:rPr>
                <w:color w:val="000000"/>
              </w:rPr>
            </w:pPr>
            <w:r>
              <w:rPr>
                <w:color w:val="000000"/>
              </w:rPr>
              <w:t>5%</w:t>
            </w:r>
          </w:p>
        </w:tc>
      </w:tr>
    </w:tbl>
    <w:p w14:paraId="0D25803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corporate tax rate is 20%.</w:t>
      </w:r>
    </w:p>
    <w:p w14:paraId="72B571B5" w14:textId="77777777" w:rsidR="00B51D2B" w:rsidRDefault="00B51D2B" w:rsidP="00B51D2B">
      <w:pPr>
        <w:rPr>
          <w:rFonts w:ascii="Times New Roman" w:hAnsi="Times New Roman" w:cs="Times New Roman"/>
        </w:rPr>
      </w:pPr>
    </w:p>
    <w:p w14:paraId="57BE3B55" w14:textId="35D82CE2" w:rsidR="00B51D2B" w:rsidRDefault="00B51D2B" w:rsidP="00B51D2B">
      <w:pPr>
        <w:rPr>
          <w:rFonts w:ascii="Times New Roman" w:hAnsi="Times New Roman" w:cs="Times New Roman"/>
        </w:rPr>
      </w:pPr>
    </w:p>
    <w:p w14:paraId="413EA4F5" w14:textId="1B4B1017" w:rsidR="00B51D2B" w:rsidRDefault="00B51D2B" w:rsidP="00B51D2B">
      <w:pPr>
        <w:rPr>
          <w:rFonts w:ascii="Times New Roman" w:hAnsi="Times New Roman" w:cs="Times New Roman"/>
        </w:rPr>
      </w:pPr>
    </w:p>
    <w:p w14:paraId="29B507F7" w14:textId="20FF5EC2" w:rsidR="00B51D2B" w:rsidRDefault="00B51D2B" w:rsidP="00B51D2B">
      <w:pPr>
        <w:rPr>
          <w:rFonts w:ascii="Times New Roman" w:hAnsi="Times New Roman" w:cs="Times New Roman"/>
        </w:rPr>
      </w:pPr>
    </w:p>
    <w:p w14:paraId="7FE2EBA6" w14:textId="3F7741D5" w:rsidR="00B51D2B" w:rsidRDefault="00B51D2B" w:rsidP="00B51D2B">
      <w:pPr>
        <w:rPr>
          <w:rFonts w:ascii="Times New Roman" w:hAnsi="Times New Roman" w:cs="Times New Roman"/>
        </w:rPr>
      </w:pPr>
    </w:p>
    <w:p w14:paraId="5D254C0A" w14:textId="7AE2F64B" w:rsidR="00B51D2B" w:rsidRDefault="00B51D2B" w:rsidP="00B51D2B">
      <w:pPr>
        <w:rPr>
          <w:rFonts w:ascii="Times New Roman" w:hAnsi="Times New Roman" w:cs="Times New Roman"/>
        </w:rPr>
      </w:pPr>
    </w:p>
    <w:p w14:paraId="700F9334" w14:textId="208F2AC1" w:rsidR="00B51D2B" w:rsidRDefault="00B51D2B" w:rsidP="00B51D2B">
      <w:pPr>
        <w:rPr>
          <w:rFonts w:ascii="Times New Roman" w:hAnsi="Times New Roman" w:cs="Times New Roman"/>
        </w:rPr>
      </w:pPr>
    </w:p>
    <w:p w14:paraId="2F67E124" w14:textId="3F34F04E" w:rsidR="00B51D2B" w:rsidRDefault="00B51D2B" w:rsidP="00B51D2B">
      <w:pPr>
        <w:rPr>
          <w:rFonts w:ascii="Times New Roman" w:hAnsi="Times New Roman" w:cs="Times New Roman"/>
        </w:rPr>
      </w:pPr>
    </w:p>
    <w:p w14:paraId="6CF3AC16" w14:textId="5B1DBA55" w:rsidR="00B51D2B" w:rsidRDefault="00B51D2B" w:rsidP="00B51D2B">
      <w:pPr>
        <w:rPr>
          <w:rFonts w:ascii="Times New Roman" w:hAnsi="Times New Roman" w:cs="Times New Roman"/>
        </w:rPr>
      </w:pPr>
    </w:p>
    <w:p w14:paraId="1E822FEA" w14:textId="0374E01B" w:rsidR="00B51D2B" w:rsidRDefault="00B51D2B" w:rsidP="00B51D2B">
      <w:pPr>
        <w:rPr>
          <w:rFonts w:ascii="Times New Roman" w:hAnsi="Times New Roman" w:cs="Times New Roman"/>
        </w:rPr>
      </w:pPr>
    </w:p>
    <w:p w14:paraId="35C612D9" w14:textId="0ACDDAAA" w:rsidR="00B51D2B" w:rsidRDefault="00B51D2B" w:rsidP="00B51D2B">
      <w:pPr>
        <w:rPr>
          <w:rFonts w:ascii="Times New Roman" w:hAnsi="Times New Roman" w:cs="Times New Roman"/>
        </w:rPr>
      </w:pPr>
    </w:p>
    <w:p w14:paraId="164A5858" w14:textId="3D2BDE5E" w:rsidR="00B51D2B" w:rsidRDefault="00B51D2B" w:rsidP="00B51D2B">
      <w:pPr>
        <w:rPr>
          <w:rFonts w:ascii="Times New Roman" w:hAnsi="Times New Roman" w:cs="Times New Roman"/>
        </w:rPr>
      </w:pPr>
    </w:p>
    <w:p w14:paraId="64B58116" w14:textId="77777777" w:rsidR="00B51D2B" w:rsidRPr="00B51D2B" w:rsidRDefault="00B51D2B" w:rsidP="00B51D2B">
      <w:pPr>
        <w:spacing w:after="150"/>
        <w:outlineLvl w:val="0"/>
        <w:rPr>
          <w:rFonts w:ascii="inherit" w:eastAsia="Times New Roman" w:hAnsi="inherit" w:cs="Arial"/>
          <w:b/>
          <w:bCs/>
          <w:color w:val="002158"/>
          <w:kern w:val="36"/>
          <w:sz w:val="31"/>
          <w:szCs w:val="31"/>
          <w:lang w:eastAsia="en-GB"/>
        </w:rPr>
      </w:pPr>
      <w:r w:rsidRPr="00B51D2B">
        <w:rPr>
          <w:rFonts w:ascii="inherit" w:eastAsia="Times New Roman" w:hAnsi="inherit" w:cs="Arial"/>
          <w:b/>
          <w:bCs/>
          <w:color w:val="002158"/>
          <w:kern w:val="36"/>
          <w:sz w:val="31"/>
          <w:szCs w:val="31"/>
          <w:lang w:eastAsia="en-GB"/>
        </w:rPr>
        <w:lastRenderedPageBreak/>
        <w:t>Appendix 8: New Route Entry Proposal from Fusion Transport UK</w:t>
      </w:r>
    </w:p>
    <w:p w14:paraId="2226054E" w14:textId="77777777" w:rsidR="00B51D2B" w:rsidRPr="00B51D2B" w:rsidRDefault="00B51D2B" w:rsidP="00B51D2B">
      <w:pPr>
        <w:spacing w:before="75" w:after="225"/>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Fusion Transport UK is considering entering into the Middlesbrough to Cardiff bus passenger transport market. The General Manager of the business segment, Ms. Victoria Burrow, and her operational team have gathered the following information:</w:t>
      </w:r>
    </w:p>
    <w:p w14:paraId="27A652C9" w14:textId="77777777" w:rsidR="00B51D2B" w:rsidRPr="00B51D2B" w:rsidRDefault="00B51D2B" w:rsidP="00B51D2B">
      <w:pPr>
        <w:numPr>
          <w:ilvl w:val="0"/>
          <w:numId w:val="4"/>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 xml:space="preserve">Currently only one bus operator,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UK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operates on the route.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is a large player across the UK in relation to the passenger bus transport business.</w:t>
      </w:r>
    </w:p>
    <w:p w14:paraId="32C2AD81" w14:textId="77777777" w:rsidR="00B51D2B" w:rsidRPr="00B51D2B" w:rsidRDefault="00B51D2B" w:rsidP="00B51D2B">
      <w:pPr>
        <w:numPr>
          <w:ilvl w:val="0"/>
          <w:numId w:val="4"/>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Market research indicates that while train (£85) and plane (£71) transport channels offer faster turnaround options for passengers, these options can be price prohibitive when compared to bus transport. In addition, while actual journey times are shortest by plane, when one factors in airport check-in, baggage check-in, security, passport security checks etc., there is not a substantial difference between flying and the bus alternative.</w:t>
      </w:r>
    </w:p>
    <w:p w14:paraId="71870873" w14:textId="77777777" w:rsidR="00B51D2B" w:rsidRPr="00B51D2B" w:rsidRDefault="00B51D2B" w:rsidP="00B51D2B">
      <w:pPr>
        <w:numPr>
          <w:ilvl w:val="0"/>
          <w:numId w:val="4"/>
        </w:numPr>
        <w:spacing w:before="120" w:after="120"/>
        <w:ind w:left="576"/>
        <w:rPr>
          <w:rFonts w:ascii="Arial" w:eastAsia="Times New Roman" w:hAnsi="Arial" w:cs="Arial"/>
          <w:color w:val="000000"/>
          <w:sz w:val="21"/>
          <w:szCs w:val="21"/>
          <w:lang w:eastAsia="en-GB"/>
        </w:rPr>
      </w:pP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currently has a ticket priced at £57 per passenger.</w:t>
      </w:r>
    </w:p>
    <w:p w14:paraId="645C14C4" w14:textId="77777777" w:rsidR="00B51D2B" w:rsidRPr="00B51D2B" w:rsidRDefault="00B51D2B" w:rsidP="00B51D2B">
      <w:pPr>
        <w:numPr>
          <w:ilvl w:val="0"/>
          <w:numId w:val="4"/>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A standard bus with 70 seats (same as Fusion Transport UK bus fleet) operates on the journey daily for 360 days of the year.</w:t>
      </w:r>
    </w:p>
    <w:p w14:paraId="3B95A01C" w14:textId="77777777" w:rsidR="00B51D2B" w:rsidRPr="00B51D2B" w:rsidRDefault="00B51D2B" w:rsidP="00B51D2B">
      <w:pPr>
        <w:numPr>
          <w:ilvl w:val="0"/>
          <w:numId w:val="4"/>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 xml:space="preserve">The following table provides the estimates of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route cost base and profitability, which is based on a </w:t>
      </w:r>
      <w:r w:rsidRPr="00B51D2B">
        <w:rPr>
          <w:rFonts w:ascii="Arial" w:eastAsia="Times New Roman" w:hAnsi="Arial" w:cs="Arial"/>
          <w:b/>
          <w:bCs/>
          <w:color w:val="000000"/>
          <w:sz w:val="21"/>
          <w:szCs w:val="21"/>
          <w:lang w:eastAsia="en-GB"/>
        </w:rPr>
        <w:t>load factor</w:t>
      </w:r>
      <w:r w:rsidRPr="00B51D2B">
        <w:rPr>
          <w:rFonts w:ascii="Arial" w:eastAsia="Times New Roman" w:hAnsi="Arial" w:cs="Arial"/>
          <w:color w:val="000000"/>
          <w:sz w:val="21"/>
          <w:szCs w:val="21"/>
          <w:lang w:eastAsia="en-GB"/>
        </w:rPr>
        <w:t> of 60%:</w:t>
      </w:r>
    </w:p>
    <w:tbl>
      <w:tblPr>
        <w:tblW w:w="8520" w:type="dxa"/>
        <w:tblCellMar>
          <w:top w:w="15" w:type="dxa"/>
          <w:left w:w="15" w:type="dxa"/>
          <w:bottom w:w="15" w:type="dxa"/>
          <w:right w:w="15" w:type="dxa"/>
        </w:tblCellMar>
        <w:tblLook w:val="04A0" w:firstRow="1" w:lastRow="0" w:firstColumn="1" w:lastColumn="0" w:noHBand="0" w:noVBand="1"/>
      </w:tblPr>
      <w:tblGrid>
        <w:gridCol w:w="2254"/>
        <w:gridCol w:w="1287"/>
        <w:gridCol w:w="360"/>
        <w:gridCol w:w="654"/>
        <w:gridCol w:w="647"/>
        <w:gridCol w:w="643"/>
        <w:gridCol w:w="628"/>
        <w:gridCol w:w="626"/>
        <w:gridCol w:w="626"/>
        <w:gridCol w:w="360"/>
        <w:gridCol w:w="435"/>
      </w:tblGrid>
      <w:tr w:rsidR="00B51D2B" w:rsidRPr="00B51D2B" w14:paraId="71726AF2" w14:textId="77777777" w:rsidTr="00B51D2B">
        <w:tc>
          <w:tcPr>
            <w:tcW w:w="0" w:type="auto"/>
            <w:tcBorders>
              <w:top w:val="nil"/>
              <w:left w:val="nil"/>
              <w:bottom w:val="nil"/>
              <w:right w:val="nil"/>
            </w:tcBorders>
            <w:tcMar>
              <w:top w:w="150" w:type="dxa"/>
              <w:left w:w="225" w:type="dxa"/>
              <w:bottom w:w="135" w:type="dxa"/>
              <w:right w:w="150" w:type="dxa"/>
            </w:tcMar>
            <w:hideMark/>
          </w:tcPr>
          <w:p w14:paraId="762C242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Bus Capacity (Seats)</w:t>
            </w:r>
          </w:p>
        </w:tc>
        <w:tc>
          <w:tcPr>
            <w:tcW w:w="0" w:type="auto"/>
            <w:tcBorders>
              <w:top w:val="nil"/>
              <w:left w:val="nil"/>
              <w:bottom w:val="nil"/>
              <w:right w:val="nil"/>
            </w:tcBorders>
            <w:tcMar>
              <w:top w:w="150" w:type="dxa"/>
              <w:left w:w="150" w:type="dxa"/>
              <w:bottom w:w="135" w:type="dxa"/>
              <w:right w:w="150" w:type="dxa"/>
            </w:tcMar>
            <w:hideMark/>
          </w:tcPr>
          <w:p w14:paraId="16736E5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70</w:t>
            </w:r>
          </w:p>
        </w:tc>
        <w:tc>
          <w:tcPr>
            <w:tcW w:w="0" w:type="auto"/>
            <w:tcBorders>
              <w:top w:val="nil"/>
              <w:left w:val="nil"/>
              <w:bottom w:val="nil"/>
              <w:right w:val="nil"/>
            </w:tcBorders>
            <w:tcMar>
              <w:top w:w="150" w:type="dxa"/>
              <w:left w:w="150" w:type="dxa"/>
              <w:bottom w:w="135" w:type="dxa"/>
              <w:right w:w="150" w:type="dxa"/>
            </w:tcMar>
            <w:hideMark/>
          </w:tcPr>
          <w:p w14:paraId="655CE3C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79B6A3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047864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2F7C6C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692CBB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89D0CA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BFA79B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31B692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0D9D953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1A98C08C" w14:textId="77777777" w:rsidTr="00B51D2B">
        <w:tc>
          <w:tcPr>
            <w:tcW w:w="0" w:type="auto"/>
            <w:tcBorders>
              <w:top w:val="nil"/>
              <w:left w:val="nil"/>
              <w:bottom w:val="nil"/>
              <w:right w:val="nil"/>
            </w:tcBorders>
            <w:tcMar>
              <w:top w:w="150" w:type="dxa"/>
              <w:left w:w="225" w:type="dxa"/>
              <w:bottom w:w="135" w:type="dxa"/>
              <w:right w:w="150" w:type="dxa"/>
            </w:tcMar>
            <w:hideMark/>
          </w:tcPr>
          <w:p w14:paraId="4D7DAB7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Load Factor</w:t>
            </w:r>
          </w:p>
        </w:tc>
        <w:tc>
          <w:tcPr>
            <w:tcW w:w="0" w:type="auto"/>
            <w:tcBorders>
              <w:top w:val="nil"/>
              <w:left w:val="nil"/>
              <w:bottom w:val="nil"/>
              <w:right w:val="nil"/>
            </w:tcBorders>
            <w:tcMar>
              <w:top w:w="150" w:type="dxa"/>
              <w:left w:w="150" w:type="dxa"/>
              <w:bottom w:w="135" w:type="dxa"/>
              <w:right w:w="150" w:type="dxa"/>
            </w:tcMar>
            <w:hideMark/>
          </w:tcPr>
          <w:p w14:paraId="6926ECA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60%</w:t>
            </w:r>
          </w:p>
        </w:tc>
        <w:tc>
          <w:tcPr>
            <w:tcW w:w="0" w:type="auto"/>
            <w:tcBorders>
              <w:top w:val="nil"/>
              <w:left w:val="nil"/>
              <w:bottom w:val="nil"/>
              <w:right w:val="nil"/>
            </w:tcBorders>
            <w:tcMar>
              <w:top w:w="150" w:type="dxa"/>
              <w:left w:w="150" w:type="dxa"/>
              <w:bottom w:w="135" w:type="dxa"/>
              <w:right w:w="150" w:type="dxa"/>
            </w:tcMar>
            <w:hideMark/>
          </w:tcPr>
          <w:p w14:paraId="1552DF3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74A6BE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D19F00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71A337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334CD2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7BAFD74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3E2341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7F4BE2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432FC4A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78A269B2" w14:textId="77777777" w:rsidTr="00B51D2B">
        <w:tc>
          <w:tcPr>
            <w:tcW w:w="0" w:type="auto"/>
            <w:gridSpan w:val="2"/>
            <w:tcBorders>
              <w:top w:val="nil"/>
              <w:left w:val="nil"/>
              <w:bottom w:val="nil"/>
              <w:right w:val="nil"/>
            </w:tcBorders>
            <w:tcMar>
              <w:top w:w="150" w:type="dxa"/>
              <w:left w:w="225" w:type="dxa"/>
              <w:bottom w:w="135" w:type="dxa"/>
              <w:right w:w="150" w:type="dxa"/>
            </w:tcMar>
            <w:hideMark/>
          </w:tcPr>
          <w:p w14:paraId="711F67F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i/>
                <w:iCs/>
                <w:color w:val="000000"/>
                <w:u w:val="single"/>
                <w:lang w:eastAsia="en-GB"/>
              </w:rPr>
              <w:t>Profit &amp; Loss per Ticket/Passenger</w:t>
            </w:r>
          </w:p>
        </w:tc>
        <w:tc>
          <w:tcPr>
            <w:tcW w:w="0" w:type="auto"/>
            <w:tcBorders>
              <w:top w:val="nil"/>
              <w:left w:val="nil"/>
              <w:bottom w:val="nil"/>
              <w:right w:val="nil"/>
            </w:tcBorders>
            <w:tcMar>
              <w:top w:w="150" w:type="dxa"/>
              <w:left w:w="150" w:type="dxa"/>
              <w:bottom w:w="135" w:type="dxa"/>
              <w:right w:w="150" w:type="dxa"/>
            </w:tcMar>
            <w:hideMark/>
          </w:tcPr>
          <w:p w14:paraId="5CE455E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EC083C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7A8BD1E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100E46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7A485BD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4F898C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00906F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55C3BC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7E6EB85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0F4BD943" w14:textId="77777777" w:rsidTr="00B51D2B">
        <w:tc>
          <w:tcPr>
            <w:tcW w:w="0" w:type="auto"/>
            <w:tcBorders>
              <w:top w:val="nil"/>
              <w:left w:val="nil"/>
              <w:bottom w:val="nil"/>
              <w:right w:val="nil"/>
            </w:tcBorders>
            <w:tcMar>
              <w:top w:w="150" w:type="dxa"/>
              <w:left w:w="225" w:type="dxa"/>
              <w:bottom w:w="135" w:type="dxa"/>
              <w:right w:w="150" w:type="dxa"/>
            </w:tcMar>
            <w:hideMark/>
          </w:tcPr>
          <w:p w14:paraId="09BDC32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FF59CBE"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w:t>
            </w:r>
          </w:p>
        </w:tc>
        <w:tc>
          <w:tcPr>
            <w:tcW w:w="0" w:type="auto"/>
            <w:tcBorders>
              <w:top w:val="nil"/>
              <w:left w:val="nil"/>
              <w:bottom w:val="nil"/>
              <w:right w:val="nil"/>
            </w:tcBorders>
            <w:tcMar>
              <w:top w:w="150" w:type="dxa"/>
              <w:left w:w="150" w:type="dxa"/>
              <w:bottom w:w="135" w:type="dxa"/>
              <w:right w:w="150" w:type="dxa"/>
            </w:tcMar>
            <w:hideMark/>
          </w:tcPr>
          <w:p w14:paraId="1C8B077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CAAC71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EA462D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36FE53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6BA0B8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A5A41D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39CCD9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187F6B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780FC02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30EC9B27" w14:textId="77777777" w:rsidTr="00B51D2B">
        <w:tc>
          <w:tcPr>
            <w:tcW w:w="0" w:type="auto"/>
            <w:tcBorders>
              <w:top w:val="nil"/>
              <w:left w:val="nil"/>
              <w:bottom w:val="nil"/>
              <w:right w:val="nil"/>
            </w:tcBorders>
            <w:tcMar>
              <w:top w:w="150" w:type="dxa"/>
              <w:left w:w="225" w:type="dxa"/>
              <w:bottom w:w="135" w:type="dxa"/>
              <w:right w:w="150" w:type="dxa"/>
            </w:tcMar>
            <w:hideMark/>
          </w:tcPr>
          <w:p w14:paraId="6BDA964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Selling Price</w:t>
            </w:r>
          </w:p>
        </w:tc>
        <w:tc>
          <w:tcPr>
            <w:tcW w:w="0" w:type="auto"/>
            <w:tcBorders>
              <w:top w:val="nil"/>
              <w:left w:val="nil"/>
              <w:bottom w:val="nil"/>
              <w:right w:val="nil"/>
            </w:tcBorders>
            <w:tcMar>
              <w:top w:w="150" w:type="dxa"/>
              <w:left w:w="150" w:type="dxa"/>
              <w:bottom w:w="135" w:type="dxa"/>
              <w:right w:w="150" w:type="dxa"/>
            </w:tcMar>
            <w:hideMark/>
          </w:tcPr>
          <w:p w14:paraId="3BC367A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bdr w:val="none" w:sz="0" w:space="0" w:color="auto" w:frame="1"/>
                <w:lang w:eastAsia="en-GB"/>
              </w:rPr>
              <w:t>Total </w:t>
            </w:r>
            <w:r w:rsidRPr="00B51D2B">
              <w:rPr>
                <w:rFonts w:ascii="Times New Roman" w:eastAsia="Times New Roman" w:hAnsi="Times New Roman" w:cs="Times New Roman"/>
                <w:color w:val="000000"/>
                <w:lang w:eastAsia="en-GB"/>
              </w:rPr>
              <w:t>57.0</w:t>
            </w:r>
          </w:p>
        </w:tc>
        <w:tc>
          <w:tcPr>
            <w:tcW w:w="0" w:type="auto"/>
            <w:tcBorders>
              <w:top w:val="nil"/>
              <w:left w:val="nil"/>
              <w:bottom w:val="nil"/>
              <w:right w:val="nil"/>
            </w:tcBorders>
            <w:tcMar>
              <w:top w:w="150" w:type="dxa"/>
              <w:left w:w="150" w:type="dxa"/>
              <w:bottom w:w="135" w:type="dxa"/>
              <w:right w:w="150" w:type="dxa"/>
            </w:tcMar>
            <w:hideMark/>
          </w:tcPr>
          <w:p w14:paraId="526C26F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A1ECB0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A5EF54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7F5623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BC4B5C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47DCA0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8BBBC9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53DDA9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30F7E3D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07C35E83" w14:textId="77777777" w:rsidTr="00B51D2B">
        <w:tc>
          <w:tcPr>
            <w:tcW w:w="0" w:type="auto"/>
            <w:tcBorders>
              <w:top w:val="nil"/>
              <w:left w:val="nil"/>
              <w:bottom w:val="nil"/>
              <w:right w:val="nil"/>
            </w:tcBorders>
            <w:tcMar>
              <w:top w:w="150" w:type="dxa"/>
              <w:left w:w="225" w:type="dxa"/>
              <w:bottom w:w="135" w:type="dxa"/>
              <w:right w:w="150" w:type="dxa"/>
            </w:tcMar>
            <w:hideMark/>
          </w:tcPr>
          <w:p w14:paraId="0008FE2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i/>
                <w:iCs/>
                <w:color w:val="000000"/>
                <w:u w:val="single"/>
                <w:lang w:eastAsia="en-GB"/>
              </w:rPr>
              <w:t>Less Costs</w:t>
            </w:r>
          </w:p>
        </w:tc>
        <w:tc>
          <w:tcPr>
            <w:tcW w:w="0" w:type="auto"/>
            <w:tcBorders>
              <w:top w:val="nil"/>
              <w:left w:val="nil"/>
              <w:bottom w:val="nil"/>
              <w:right w:val="nil"/>
            </w:tcBorders>
            <w:tcMar>
              <w:top w:w="150" w:type="dxa"/>
              <w:left w:w="150" w:type="dxa"/>
              <w:bottom w:w="135" w:type="dxa"/>
              <w:right w:w="150" w:type="dxa"/>
            </w:tcMar>
            <w:hideMark/>
          </w:tcPr>
          <w:p w14:paraId="740B404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EAF199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E75F6A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E83FFB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8F5FF4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04EFA9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0EF7A3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E30A59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B4E47C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4523C18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07B07AE0" w14:textId="77777777" w:rsidTr="00B51D2B">
        <w:tc>
          <w:tcPr>
            <w:tcW w:w="0" w:type="auto"/>
            <w:tcBorders>
              <w:top w:val="nil"/>
              <w:left w:val="nil"/>
              <w:bottom w:val="nil"/>
              <w:right w:val="nil"/>
            </w:tcBorders>
            <w:tcMar>
              <w:top w:w="150" w:type="dxa"/>
              <w:left w:w="225" w:type="dxa"/>
              <w:bottom w:w="135" w:type="dxa"/>
              <w:right w:w="150" w:type="dxa"/>
            </w:tcMar>
            <w:hideMark/>
          </w:tcPr>
          <w:p w14:paraId="6D0D899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Driver</w:t>
            </w:r>
          </w:p>
        </w:tc>
        <w:tc>
          <w:tcPr>
            <w:tcW w:w="0" w:type="auto"/>
            <w:tcBorders>
              <w:top w:val="nil"/>
              <w:left w:val="nil"/>
              <w:bottom w:val="nil"/>
              <w:right w:val="nil"/>
            </w:tcBorders>
            <w:tcMar>
              <w:top w:w="150" w:type="dxa"/>
              <w:left w:w="150" w:type="dxa"/>
              <w:bottom w:w="135" w:type="dxa"/>
              <w:right w:w="150" w:type="dxa"/>
            </w:tcMar>
            <w:hideMark/>
          </w:tcPr>
          <w:p w14:paraId="3B64B3C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4.3</w:t>
            </w:r>
          </w:p>
        </w:tc>
        <w:tc>
          <w:tcPr>
            <w:tcW w:w="0" w:type="auto"/>
            <w:tcBorders>
              <w:top w:val="nil"/>
              <w:left w:val="nil"/>
              <w:bottom w:val="nil"/>
              <w:right w:val="nil"/>
            </w:tcBorders>
            <w:tcMar>
              <w:top w:w="150" w:type="dxa"/>
              <w:left w:w="150" w:type="dxa"/>
              <w:bottom w:w="135" w:type="dxa"/>
              <w:right w:w="150" w:type="dxa"/>
            </w:tcMar>
            <w:hideMark/>
          </w:tcPr>
          <w:p w14:paraId="2150F90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6"/>
            <w:tcBorders>
              <w:top w:val="nil"/>
              <w:left w:val="nil"/>
              <w:bottom w:val="nil"/>
              <w:right w:val="nil"/>
            </w:tcBorders>
            <w:tcMar>
              <w:top w:w="150" w:type="dxa"/>
              <w:left w:w="150" w:type="dxa"/>
              <w:bottom w:w="135" w:type="dxa"/>
              <w:right w:w="150" w:type="dxa"/>
            </w:tcMar>
            <w:hideMark/>
          </w:tcPr>
          <w:p w14:paraId="3A6DB24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Drivers are paid based on timesheet submissions</w:t>
            </w:r>
          </w:p>
        </w:tc>
        <w:tc>
          <w:tcPr>
            <w:tcW w:w="0" w:type="auto"/>
            <w:tcBorders>
              <w:top w:val="nil"/>
              <w:left w:val="nil"/>
              <w:bottom w:val="nil"/>
              <w:right w:val="nil"/>
            </w:tcBorders>
            <w:tcMar>
              <w:top w:w="150" w:type="dxa"/>
              <w:left w:w="150" w:type="dxa"/>
              <w:bottom w:w="135" w:type="dxa"/>
              <w:right w:w="150" w:type="dxa"/>
            </w:tcMar>
            <w:hideMark/>
          </w:tcPr>
          <w:p w14:paraId="1D5CD42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0D44139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5A82EFB2" w14:textId="77777777" w:rsidTr="00B51D2B">
        <w:tc>
          <w:tcPr>
            <w:tcW w:w="0" w:type="auto"/>
            <w:tcBorders>
              <w:top w:val="nil"/>
              <w:left w:val="nil"/>
              <w:bottom w:val="nil"/>
              <w:right w:val="nil"/>
            </w:tcBorders>
            <w:tcMar>
              <w:top w:w="150" w:type="dxa"/>
              <w:left w:w="225" w:type="dxa"/>
              <w:bottom w:w="135" w:type="dxa"/>
              <w:right w:w="150" w:type="dxa"/>
            </w:tcMar>
            <w:hideMark/>
          </w:tcPr>
          <w:p w14:paraId="18668FE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Fuel &amp; Oil</w:t>
            </w:r>
          </w:p>
        </w:tc>
        <w:tc>
          <w:tcPr>
            <w:tcW w:w="0" w:type="auto"/>
            <w:tcBorders>
              <w:top w:val="nil"/>
              <w:left w:val="nil"/>
              <w:bottom w:val="nil"/>
              <w:right w:val="nil"/>
            </w:tcBorders>
            <w:tcMar>
              <w:top w:w="150" w:type="dxa"/>
              <w:left w:w="150" w:type="dxa"/>
              <w:bottom w:w="135" w:type="dxa"/>
              <w:right w:w="150" w:type="dxa"/>
            </w:tcMar>
            <w:hideMark/>
          </w:tcPr>
          <w:p w14:paraId="31AAA6E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3.8</w:t>
            </w:r>
          </w:p>
        </w:tc>
        <w:tc>
          <w:tcPr>
            <w:tcW w:w="0" w:type="auto"/>
            <w:tcBorders>
              <w:top w:val="nil"/>
              <w:left w:val="nil"/>
              <w:bottom w:val="nil"/>
              <w:right w:val="nil"/>
            </w:tcBorders>
            <w:tcMar>
              <w:top w:w="150" w:type="dxa"/>
              <w:left w:w="150" w:type="dxa"/>
              <w:bottom w:w="135" w:type="dxa"/>
              <w:right w:w="150" w:type="dxa"/>
            </w:tcMar>
            <w:hideMark/>
          </w:tcPr>
          <w:p w14:paraId="7AD1783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4"/>
            <w:tcBorders>
              <w:top w:val="nil"/>
              <w:left w:val="nil"/>
              <w:bottom w:val="nil"/>
              <w:right w:val="nil"/>
            </w:tcBorders>
            <w:tcMar>
              <w:top w:w="150" w:type="dxa"/>
              <w:left w:w="150" w:type="dxa"/>
              <w:bottom w:w="135" w:type="dxa"/>
              <w:right w:w="150" w:type="dxa"/>
            </w:tcMar>
            <w:hideMark/>
          </w:tcPr>
          <w:p w14:paraId="50FD5B0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Cost driven by usage of the bus</w:t>
            </w:r>
          </w:p>
        </w:tc>
        <w:tc>
          <w:tcPr>
            <w:tcW w:w="0" w:type="auto"/>
            <w:tcBorders>
              <w:top w:val="nil"/>
              <w:left w:val="nil"/>
              <w:bottom w:val="nil"/>
              <w:right w:val="nil"/>
            </w:tcBorders>
            <w:tcMar>
              <w:top w:w="150" w:type="dxa"/>
              <w:left w:w="150" w:type="dxa"/>
              <w:bottom w:w="135" w:type="dxa"/>
              <w:right w:w="150" w:type="dxa"/>
            </w:tcMar>
            <w:hideMark/>
          </w:tcPr>
          <w:p w14:paraId="2298EF6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026466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7677F1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188251A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4C97CAB7" w14:textId="77777777" w:rsidTr="00B51D2B">
        <w:tc>
          <w:tcPr>
            <w:tcW w:w="0" w:type="auto"/>
            <w:tcBorders>
              <w:top w:val="nil"/>
              <w:left w:val="nil"/>
              <w:bottom w:val="nil"/>
              <w:right w:val="nil"/>
            </w:tcBorders>
            <w:tcMar>
              <w:top w:w="150" w:type="dxa"/>
              <w:left w:w="225" w:type="dxa"/>
              <w:bottom w:w="135" w:type="dxa"/>
              <w:right w:w="150" w:type="dxa"/>
            </w:tcMar>
            <w:hideMark/>
          </w:tcPr>
          <w:p w14:paraId="6C3267D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Depreciation</w:t>
            </w:r>
          </w:p>
        </w:tc>
        <w:tc>
          <w:tcPr>
            <w:tcW w:w="0" w:type="auto"/>
            <w:tcBorders>
              <w:top w:val="nil"/>
              <w:left w:val="nil"/>
              <w:bottom w:val="nil"/>
              <w:right w:val="nil"/>
            </w:tcBorders>
            <w:tcMar>
              <w:top w:w="150" w:type="dxa"/>
              <w:left w:w="150" w:type="dxa"/>
              <w:bottom w:w="135" w:type="dxa"/>
              <w:right w:w="150" w:type="dxa"/>
            </w:tcMar>
            <w:hideMark/>
          </w:tcPr>
          <w:p w14:paraId="64C582D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2.3</w:t>
            </w:r>
          </w:p>
        </w:tc>
        <w:tc>
          <w:tcPr>
            <w:tcW w:w="0" w:type="auto"/>
            <w:tcBorders>
              <w:top w:val="nil"/>
              <w:left w:val="nil"/>
              <w:bottom w:val="nil"/>
              <w:right w:val="nil"/>
            </w:tcBorders>
            <w:tcMar>
              <w:top w:w="150" w:type="dxa"/>
              <w:left w:w="150" w:type="dxa"/>
              <w:bottom w:w="135" w:type="dxa"/>
              <w:right w:w="150" w:type="dxa"/>
            </w:tcMar>
            <w:hideMark/>
          </w:tcPr>
          <w:p w14:paraId="0839115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6"/>
            <w:tcBorders>
              <w:top w:val="nil"/>
              <w:left w:val="nil"/>
              <w:bottom w:val="nil"/>
              <w:right w:val="nil"/>
            </w:tcBorders>
            <w:tcMar>
              <w:top w:w="150" w:type="dxa"/>
              <w:left w:w="150" w:type="dxa"/>
              <w:bottom w:w="135" w:type="dxa"/>
              <w:right w:w="150" w:type="dxa"/>
            </w:tcMar>
            <w:hideMark/>
          </w:tcPr>
          <w:p w14:paraId="105B79B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Annual cost allocated on an SL basis over 10 years with a nil residual value</w:t>
            </w:r>
          </w:p>
        </w:tc>
        <w:tc>
          <w:tcPr>
            <w:tcW w:w="0" w:type="auto"/>
            <w:tcBorders>
              <w:top w:val="nil"/>
              <w:left w:val="nil"/>
              <w:bottom w:val="nil"/>
              <w:right w:val="nil"/>
            </w:tcBorders>
            <w:tcMar>
              <w:top w:w="150" w:type="dxa"/>
              <w:left w:w="150" w:type="dxa"/>
              <w:bottom w:w="135" w:type="dxa"/>
              <w:right w:w="150" w:type="dxa"/>
            </w:tcMar>
            <w:hideMark/>
          </w:tcPr>
          <w:p w14:paraId="2059616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1FF9C8C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65DA5979" w14:textId="77777777" w:rsidTr="00B51D2B">
        <w:tc>
          <w:tcPr>
            <w:tcW w:w="0" w:type="auto"/>
            <w:tcBorders>
              <w:top w:val="nil"/>
              <w:left w:val="nil"/>
              <w:bottom w:val="nil"/>
              <w:right w:val="nil"/>
            </w:tcBorders>
            <w:tcMar>
              <w:top w:w="150" w:type="dxa"/>
              <w:left w:w="225" w:type="dxa"/>
              <w:bottom w:w="135" w:type="dxa"/>
              <w:right w:w="150" w:type="dxa"/>
            </w:tcMar>
            <w:hideMark/>
          </w:tcPr>
          <w:p w14:paraId="76489B3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Maintenance, cleaning, repair etc.</w:t>
            </w:r>
          </w:p>
        </w:tc>
        <w:tc>
          <w:tcPr>
            <w:tcW w:w="0" w:type="auto"/>
            <w:tcBorders>
              <w:top w:val="nil"/>
              <w:left w:val="nil"/>
              <w:bottom w:val="nil"/>
              <w:right w:val="nil"/>
            </w:tcBorders>
            <w:tcMar>
              <w:top w:w="150" w:type="dxa"/>
              <w:left w:w="150" w:type="dxa"/>
              <w:bottom w:w="135" w:type="dxa"/>
              <w:right w:w="150" w:type="dxa"/>
            </w:tcMar>
            <w:hideMark/>
          </w:tcPr>
          <w:p w14:paraId="5A771A1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8.1</w:t>
            </w:r>
          </w:p>
        </w:tc>
        <w:tc>
          <w:tcPr>
            <w:tcW w:w="0" w:type="auto"/>
            <w:tcBorders>
              <w:top w:val="nil"/>
              <w:left w:val="nil"/>
              <w:bottom w:val="nil"/>
              <w:right w:val="nil"/>
            </w:tcBorders>
            <w:tcMar>
              <w:top w:w="150" w:type="dxa"/>
              <w:left w:w="150" w:type="dxa"/>
              <w:bottom w:w="135" w:type="dxa"/>
              <w:right w:w="150" w:type="dxa"/>
            </w:tcMar>
            <w:hideMark/>
          </w:tcPr>
          <w:p w14:paraId="2630DC7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4"/>
            <w:tcBorders>
              <w:top w:val="nil"/>
              <w:left w:val="nil"/>
              <w:bottom w:val="nil"/>
              <w:right w:val="nil"/>
            </w:tcBorders>
            <w:tcMar>
              <w:top w:w="150" w:type="dxa"/>
              <w:left w:w="150" w:type="dxa"/>
              <w:bottom w:w="135" w:type="dxa"/>
              <w:right w:w="150" w:type="dxa"/>
            </w:tcMar>
            <w:hideMark/>
          </w:tcPr>
          <w:p w14:paraId="3B86A19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Driven by mileage and bus usage</w:t>
            </w:r>
          </w:p>
        </w:tc>
        <w:tc>
          <w:tcPr>
            <w:tcW w:w="0" w:type="auto"/>
            <w:tcBorders>
              <w:top w:val="nil"/>
              <w:left w:val="nil"/>
              <w:bottom w:val="nil"/>
              <w:right w:val="nil"/>
            </w:tcBorders>
            <w:tcMar>
              <w:top w:w="150" w:type="dxa"/>
              <w:left w:w="150" w:type="dxa"/>
              <w:bottom w:w="135" w:type="dxa"/>
              <w:right w:w="150" w:type="dxa"/>
            </w:tcMar>
            <w:hideMark/>
          </w:tcPr>
          <w:p w14:paraId="36F1E7F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795C947E"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FB9949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3D86579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7859495C" w14:textId="77777777" w:rsidTr="00B51D2B">
        <w:tc>
          <w:tcPr>
            <w:tcW w:w="0" w:type="auto"/>
            <w:tcBorders>
              <w:top w:val="nil"/>
              <w:left w:val="nil"/>
              <w:bottom w:val="nil"/>
              <w:right w:val="nil"/>
            </w:tcBorders>
            <w:tcMar>
              <w:top w:w="150" w:type="dxa"/>
              <w:left w:w="225" w:type="dxa"/>
              <w:bottom w:w="135" w:type="dxa"/>
              <w:right w:w="150" w:type="dxa"/>
            </w:tcMar>
            <w:hideMark/>
          </w:tcPr>
          <w:p w14:paraId="04A7643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lastRenderedPageBreak/>
              <w:t>Gate fees at destinations</w:t>
            </w:r>
          </w:p>
        </w:tc>
        <w:tc>
          <w:tcPr>
            <w:tcW w:w="0" w:type="auto"/>
            <w:tcBorders>
              <w:top w:val="nil"/>
              <w:left w:val="nil"/>
              <w:bottom w:val="nil"/>
              <w:right w:val="nil"/>
            </w:tcBorders>
            <w:tcMar>
              <w:top w:w="150" w:type="dxa"/>
              <w:left w:w="150" w:type="dxa"/>
              <w:bottom w:w="135" w:type="dxa"/>
              <w:right w:w="150" w:type="dxa"/>
            </w:tcMar>
            <w:hideMark/>
          </w:tcPr>
          <w:p w14:paraId="24BBF24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3.1</w:t>
            </w:r>
          </w:p>
        </w:tc>
        <w:tc>
          <w:tcPr>
            <w:tcW w:w="0" w:type="auto"/>
            <w:tcBorders>
              <w:top w:val="nil"/>
              <w:left w:val="nil"/>
              <w:bottom w:val="nil"/>
              <w:right w:val="nil"/>
            </w:tcBorders>
            <w:tcMar>
              <w:top w:w="150" w:type="dxa"/>
              <w:left w:w="150" w:type="dxa"/>
              <w:bottom w:w="135" w:type="dxa"/>
              <w:right w:w="150" w:type="dxa"/>
            </w:tcMar>
            <w:hideMark/>
          </w:tcPr>
          <w:p w14:paraId="594ABAB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4"/>
            <w:tcBorders>
              <w:top w:val="nil"/>
              <w:left w:val="nil"/>
              <w:bottom w:val="nil"/>
              <w:right w:val="nil"/>
            </w:tcBorders>
            <w:tcMar>
              <w:top w:w="150" w:type="dxa"/>
              <w:left w:w="150" w:type="dxa"/>
              <w:bottom w:w="135" w:type="dxa"/>
              <w:right w:w="150" w:type="dxa"/>
            </w:tcMar>
            <w:hideMark/>
          </w:tcPr>
          <w:p w14:paraId="22EA541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Paid per use of gates at bus stations</w:t>
            </w:r>
          </w:p>
        </w:tc>
        <w:tc>
          <w:tcPr>
            <w:tcW w:w="0" w:type="auto"/>
            <w:tcBorders>
              <w:top w:val="nil"/>
              <w:left w:val="nil"/>
              <w:bottom w:val="nil"/>
              <w:right w:val="nil"/>
            </w:tcBorders>
            <w:tcMar>
              <w:top w:w="150" w:type="dxa"/>
              <w:left w:w="150" w:type="dxa"/>
              <w:bottom w:w="135" w:type="dxa"/>
              <w:right w:w="150" w:type="dxa"/>
            </w:tcMar>
            <w:hideMark/>
          </w:tcPr>
          <w:p w14:paraId="12A93DD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1B542A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1CA142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6074B53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09BCDFB7" w14:textId="77777777" w:rsidTr="00B51D2B">
        <w:tc>
          <w:tcPr>
            <w:tcW w:w="0" w:type="auto"/>
            <w:tcBorders>
              <w:top w:val="nil"/>
              <w:left w:val="nil"/>
              <w:bottom w:val="nil"/>
              <w:right w:val="nil"/>
            </w:tcBorders>
            <w:tcMar>
              <w:top w:w="150" w:type="dxa"/>
              <w:left w:w="225" w:type="dxa"/>
              <w:bottom w:w="135" w:type="dxa"/>
              <w:right w:w="150" w:type="dxa"/>
            </w:tcMar>
            <w:hideMark/>
          </w:tcPr>
          <w:p w14:paraId="14603FB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Vehicle tax, insurance</w:t>
            </w:r>
          </w:p>
        </w:tc>
        <w:tc>
          <w:tcPr>
            <w:tcW w:w="0" w:type="auto"/>
            <w:tcBorders>
              <w:top w:val="nil"/>
              <w:left w:val="nil"/>
              <w:bottom w:val="nil"/>
              <w:right w:val="nil"/>
            </w:tcBorders>
            <w:tcMar>
              <w:top w:w="150" w:type="dxa"/>
              <w:left w:w="150" w:type="dxa"/>
              <w:bottom w:w="135" w:type="dxa"/>
              <w:right w:w="150" w:type="dxa"/>
            </w:tcMar>
            <w:hideMark/>
          </w:tcPr>
          <w:p w14:paraId="4B791B8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3.5</w:t>
            </w:r>
          </w:p>
        </w:tc>
        <w:tc>
          <w:tcPr>
            <w:tcW w:w="0" w:type="auto"/>
            <w:tcBorders>
              <w:top w:val="nil"/>
              <w:left w:val="nil"/>
              <w:bottom w:val="nil"/>
              <w:right w:val="nil"/>
            </w:tcBorders>
            <w:tcMar>
              <w:top w:w="150" w:type="dxa"/>
              <w:left w:w="150" w:type="dxa"/>
              <w:bottom w:w="135" w:type="dxa"/>
              <w:right w:w="150" w:type="dxa"/>
            </w:tcMar>
            <w:hideMark/>
          </w:tcPr>
          <w:p w14:paraId="0022184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5"/>
            <w:tcBorders>
              <w:top w:val="nil"/>
              <w:left w:val="nil"/>
              <w:bottom w:val="nil"/>
              <w:right w:val="nil"/>
            </w:tcBorders>
            <w:tcMar>
              <w:top w:w="150" w:type="dxa"/>
              <w:left w:w="150" w:type="dxa"/>
              <w:bottom w:w="135" w:type="dxa"/>
              <w:right w:w="150" w:type="dxa"/>
            </w:tcMar>
            <w:hideMark/>
          </w:tcPr>
          <w:p w14:paraId="37096C6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Annual compliance running costs allocated</w:t>
            </w:r>
          </w:p>
        </w:tc>
        <w:tc>
          <w:tcPr>
            <w:tcW w:w="0" w:type="auto"/>
            <w:tcBorders>
              <w:top w:val="nil"/>
              <w:left w:val="nil"/>
              <w:bottom w:val="nil"/>
              <w:right w:val="nil"/>
            </w:tcBorders>
            <w:tcMar>
              <w:top w:w="150" w:type="dxa"/>
              <w:left w:w="150" w:type="dxa"/>
              <w:bottom w:w="135" w:type="dxa"/>
              <w:right w:w="150" w:type="dxa"/>
            </w:tcMar>
            <w:hideMark/>
          </w:tcPr>
          <w:p w14:paraId="7F8F74E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D844B2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17433E6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4213C137" w14:textId="77777777" w:rsidTr="00B51D2B">
        <w:tc>
          <w:tcPr>
            <w:tcW w:w="0" w:type="auto"/>
            <w:tcBorders>
              <w:top w:val="nil"/>
              <w:left w:val="nil"/>
              <w:bottom w:val="nil"/>
              <w:right w:val="nil"/>
            </w:tcBorders>
            <w:tcMar>
              <w:top w:w="150" w:type="dxa"/>
              <w:left w:w="225" w:type="dxa"/>
              <w:bottom w:w="135" w:type="dxa"/>
              <w:right w:w="150" w:type="dxa"/>
            </w:tcMar>
            <w:hideMark/>
          </w:tcPr>
          <w:p w14:paraId="2DDF261B"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Other staff costs allocated</w:t>
            </w:r>
          </w:p>
        </w:tc>
        <w:tc>
          <w:tcPr>
            <w:tcW w:w="0" w:type="auto"/>
            <w:tcBorders>
              <w:top w:val="nil"/>
              <w:left w:val="nil"/>
              <w:bottom w:val="nil"/>
              <w:right w:val="nil"/>
            </w:tcBorders>
            <w:tcMar>
              <w:top w:w="150" w:type="dxa"/>
              <w:left w:w="150" w:type="dxa"/>
              <w:bottom w:w="135" w:type="dxa"/>
              <w:right w:w="150" w:type="dxa"/>
            </w:tcMar>
            <w:hideMark/>
          </w:tcPr>
          <w:p w14:paraId="64C59D3E"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9.9</w:t>
            </w:r>
          </w:p>
        </w:tc>
        <w:tc>
          <w:tcPr>
            <w:tcW w:w="0" w:type="auto"/>
            <w:tcBorders>
              <w:top w:val="nil"/>
              <w:left w:val="nil"/>
              <w:bottom w:val="nil"/>
              <w:right w:val="nil"/>
            </w:tcBorders>
            <w:tcMar>
              <w:top w:w="150" w:type="dxa"/>
              <w:left w:w="150" w:type="dxa"/>
              <w:bottom w:w="135" w:type="dxa"/>
              <w:right w:w="150" w:type="dxa"/>
            </w:tcMar>
            <w:hideMark/>
          </w:tcPr>
          <w:p w14:paraId="0C2E3FA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8"/>
            <w:tcBorders>
              <w:top w:val="nil"/>
              <w:left w:val="nil"/>
              <w:bottom w:val="nil"/>
              <w:right w:val="nil"/>
            </w:tcBorders>
            <w:tcMar>
              <w:top w:w="150" w:type="dxa"/>
              <w:left w:w="150" w:type="dxa"/>
              <w:bottom w:w="135" w:type="dxa"/>
              <w:right w:w="225" w:type="dxa"/>
            </w:tcMar>
            <w:hideMark/>
          </w:tcPr>
          <w:p w14:paraId="654C7AE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Annual cost of head office administration, including HR and Finance </w:t>
            </w:r>
          </w:p>
        </w:tc>
      </w:tr>
      <w:tr w:rsidR="00B51D2B" w:rsidRPr="00B51D2B" w14:paraId="39B7462A" w14:textId="77777777" w:rsidTr="00B51D2B">
        <w:tc>
          <w:tcPr>
            <w:tcW w:w="0" w:type="auto"/>
            <w:tcBorders>
              <w:top w:val="nil"/>
              <w:left w:val="nil"/>
              <w:bottom w:val="nil"/>
              <w:right w:val="nil"/>
            </w:tcBorders>
            <w:tcMar>
              <w:top w:w="150" w:type="dxa"/>
              <w:left w:w="225" w:type="dxa"/>
              <w:bottom w:w="135" w:type="dxa"/>
              <w:right w:w="150" w:type="dxa"/>
            </w:tcMar>
            <w:hideMark/>
          </w:tcPr>
          <w:p w14:paraId="0AE837E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Marketing</w:t>
            </w:r>
          </w:p>
        </w:tc>
        <w:tc>
          <w:tcPr>
            <w:tcW w:w="0" w:type="auto"/>
            <w:tcBorders>
              <w:top w:val="nil"/>
              <w:left w:val="nil"/>
              <w:bottom w:val="nil"/>
              <w:right w:val="nil"/>
            </w:tcBorders>
            <w:tcMar>
              <w:top w:w="150" w:type="dxa"/>
              <w:left w:w="150" w:type="dxa"/>
              <w:bottom w:w="135" w:type="dxa"/>
              <w:right w:w="150" w:type="dxa"/>
            </w:tcMar>
            <w:hideMark/>
          </w:tcPr>
          <w:p w14:paraId="09B508A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3.5</w:t>
            </w:r>
          </w:p>
        </w:tc>
        <w:tc>
          <w:tcPr>
            <w:tcW w:w="0" w:type="auto"/>
            <w:tcBorders>
              <w:top w:val="nil"/>
              <w:left w:val="nil"/>
              <w:bottom w:val="nil"/>
              <w:right w:val="nil"/>
            </w:tcBorders>
            <w:tcMar>
              <w:top w:w="150" w:type="dxa"/>
              <w:left w:w="150" w:type="dxa"/>
              <w:bottom w:w="135" w:type="dxa"/>
              <w:right w:w="150" w:type="dxa"/>
            </w:tcMar>
            <w:hideMark/>
          </w:tcPr>
          <w:p w14:paraId="011A054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gridSpan w:val="3"/>
            <w:tcBorders>
              <w:top w:val="nil"/>
              <w:left w:val="nil"/>
              <w:bottom w:val="nil"/>
              <w:right w:val="nil"/>
            </w:tcBorders>
            <w:tcMar>
              <w:top w:w="150" w:type="dxa"/>
              <w:left w:w="150" w:type="dxa"/>
              <w:bottom w:w="135" w:type="dxa"/>
              <w:right w:w="150" w:type="dxa"/>
            </w:tcMar>
            <w:hideMark/>
          </w:tcPr>
          <w:p w14:paraId="5E492C03"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Annual cost allocated</w:t>
            </w:r>
          </w:p>
        </w:tc>
        <w:tc>
          <w:tcPr>
            <w:tcW w:w="0" w:type="auto"/>
            <w:tcBorders>
              <w:top w:val="nil"/>
              <w:left w:val="nil"/>
              <w:bottom w:val="nil"/>
              <w:right w:val="nil"/>
            </w:tcBorders>
            <w:tcMar>
              <w:top w:w="150" w:type="dxa"/>
              <w:left w:w="150" w:type="dxa"/>
              <w:bottom w:w="135" w:type="dxa"/>
              <w:right w:w="150" w:type="dxa"/>
            </w:tcMar>
            <w:hideMark/>
          </w:tcPr>
          <w:p w14:paraId="382A6A4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E3BD60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88F634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FE14BC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6123E93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48D67D79" w14:textId="77777777" w:rsidTr="00B51D2B">
        <w:tc>
          <w:tcPr>
            <w:tcW w:w="0" w:type="auto"/>
            <w:tcBorders>
              <w:top w:val="nil"/>
              <w:left w:val="nil"/>
              <w:bottom w:val="nil"/>
              <w:right w:val="nil"/>
            </w:tcBorders>
            <w:tcMar>
              <w:top w:w="150" w:type="dxa"/>
              <w:left w:w="225" w:type="dxa"/>
              <w:bottom w:w="135" w:type="dxa"/>
              <w:right w:w="150" w:type="dxa"/>
            </w:tcMar>
            <w:hideMark/>
          </w:tcPr>
          <w:p w14:paraId="470B88E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2090095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0C33F5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D63078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B240AEE"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0C3F3F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7872808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BBA81CE"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D12A67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F88C28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6C9C723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3E2C4B89" w14:textId="77777777" w:rsidTr="00B51D2B">
        <w:tc>
          <w:tcPr>
            <w:tcW w:w="0" w:type="auto"/>
            <w:tcBorders>
              <w:top w:val="nil"/>
              <w:left w:val="nil"/>
              <w:bottom w:val="nil"/>
              <w:right w:val="nil"/>
            </w:tcBorders>
            <w:tcMar>
              <w:top w:w="150" w:type="dxa"/>
              <w:left w:w="225" w:type="dxa"/>
              <w:bottom w:w="135" w:type="dxa"/>
              <w:right w:w="150" w:type="dxa"/>
            </w:tcMar>
            <w:hideMark/>
          </w:tcPr>
          <w:p w14:paraId="67986E8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Total Costs</w:t>
            </w:r>
          </w:p>
        </w:tc>
        <w:tc>
          <w:tcPr>
            <w:tcW w:w="0" w:type="auto"/>
            <w:tcBorders>
              <w:top w:val="nil"/>
              <w:left w:val="nil"/>
              <w:bottom w:val="nil"/>
              <w:right w:val="nil"/>
            </w:tcBorders>
            <w:tcMar>
              <w:top w:w="150" w:type="dxa"/>
              <w:left w:w="150" w:type="dxa"/>
              <w:bottom w:w="135" w:type="dxa"/>
              <w:right w:w="150" w:type="dxa"/>
            </w:tcMar>
            <w:hideMark/>
          </w:tcPr>
          <w:p w14:paraId="5DD566F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u w:val="single"/>
                <w:lang w:eastAsia="en-GB"/>
              </w:rPr>
              <w:t>38.5</w:t>
            </w:r>
          </w:p>
        </w:tc>
        <w:tc>
          <w:tcPr>
            <w:tcW w:w="0" w:type="auto"/>
            <w:tcBorders>
              <w:top w:val="nil"/>
              <w:left w:val="nil"/>
              <w:bottom w:val="nil"/>
              <w:right w:val="nil"/>
            </w:tcBorders>
            <w:tcMar>
              <w:top w:w="150" w:type="dxa"/>
              <w:left w:w="150" w:type="dxa"/>
              <w:bottom w:w="135" w:type="dxa"/>
              <w:right w:w="150" w:type="dxa"/>
            </w:tcMar>
            <w:hideMark/>
          </w:tcPr>
          <w:p w14:paraId="5EDC12D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BCB4DF2"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17A0B38"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20D0FB4"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A20344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081419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49BEC6A7"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6D7CB5C"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0FA1685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r w:rsidR="00B51D2B" w:rsidRPr="00B51D2B" w14:paraId="18284F8A" w14:textId="77777777" w:rsidTr="00B51D2B">
        <w:tc>
          <w:tcPr>
            <w:tcW w:w="0" w:type="auto"/>
            <w:tcBorders>
              <w:top w:val="nil"/>
              <w:left w:val="nil"/>
              <w:bottom w:val="nil"/>
              <w:right w:val="nil"/>
            </w:tcBorders>
            <w:tcMar>
              <w:top w:w="150" w:type="dxa"/>
              <w:left w:w="225" w:type="dxa"/>
              <w:bottom w:w="135" w:type="dxa"/>
              <w:right w:w="150" w:type="dxa"/>
            </w:tcMar>
            <w:hideMark/>
          </w:tcPr>
          <w:p w14:paraId="445AABA0"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Profit</w:t>
            </w:r>
          </w:p>
        </w:tc>
        <w:tc>
          <w:tcPr>
            <w:tcW w:w="0" w:type="auto"/>
            <w:tcBorders>
              <w:top w:val="nil"/>
              <w:left w:val="nil"/>
              <w:bottom w:val="nil"/>
              <w:right w:val="nil"/>
            </w:tcBorders>
            <w:tcMar>
              <w:top w:w="150" w:type="dxa"/>
              <w:left w:w="150" w:type="dxa"/>
              <w:bottom w:w="135" w:type="dxa"/>
              <w:right w:w="150" w:type="dxa"/>
            </w:tcMar>
            <w:hideMark/>
          </w:tcPr>
          <w:p w14:paraId="6576DF5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u w:val="single"/>
                <w:lang w:eastAsia="en-GB"/>
              </w:rPr>
              <w:t>18.5</w:t>
            </w:r>
          </w:p>
        </w:tc>
        <w:tc>
          <w:tcPr>
            <w:tcW w:w="0" w:type="auto"/>
            <w:tcBorders>
              <w:top w:val="nil"/>
              <w:left w:val="nil"/>
              <w:bottom w:val="nil"/>
              <w:right w:val="nil"/>
            </w:tcBorders>
            <w:tcMar>
              <w:top w:w="150" w:type="dxa"/>
              <w:left w:w="150" w:type="dxa"/>
              <w:bottom w:w="135" w:type="dxa"/>
              <w:right w:w="150" w:type="dxa"/>
            </w:tcMar>
            <w:hideMark/>
          </w:tcPr>
          <w:p w14:paraId="1C62A14A"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ED24C75"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34CBDD4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BF5A0A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6921CE2F"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50EFC9E6"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1A215AD1"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150" w:type="dxa"/>
            </w:tcMar>
            <w:hideMark/>
          </w:tcPr>
          <w:p w14:paraId="0CA5CABD"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c>
          <w:tcPr>
            <w:tcW w:w="0" w:type="auto"/>
            <w:tcBorders>
              <w:top w:val="nil"/>
              <w:left w:val="nil"/>
              <w:bottom w:val="nil"/>
              <w:right w:val="nil"/>
            </w:tcBorders>
            <w:tcMar>
              <w:top w:w="150" w:type="dxa"/>
              <w:left w:w="150" w:type="dxa"/>
              <w:bottom w:w="135" w:type="dxa"/>
              <w:right w:w="225" w:type="dxa"/>
            </w:tcMar>
            <w:hideMark/>
          </w:tcPr>
          <w:p w14:paraId="4F5F5AB9" w14:textId="77777777" w:rsidR="00B51D2B" w:rsidRPr="00B51D2B" w:rsidRDefault="00B51D2B" w:rsidP="00B51D2B">
            <w:pPr>
              <w:rPr>
                <w:rFonts w:ascii="Times New Roman" w:eastAsia="Times New Roman" w:hAnsi="Times New Roman" w:cs="Times New Roman"/>
                <w:color w:val="000000"/>
                <w:lang w:eastAsia="en-GB"/>
              </w:rPr>
            </w:pPr>
            <w:r w:rsidRPr="00B51D2B">
              <w:rPr>
                <w:rFonts w:ascii="Times New Roman" w:eastAsia="Times New Roman" w:hAnsi="Times New Roman" w:cs="Times New Roman"/>
                <w:color w:val="000000"/>
                <w:lang w:eastAsia="en-GB"/>
              </w:rPr>
              <w:t> </w:t>
            </w:r>
          </w:p>
        </w:tc>
      </w:tr>
    </w:tbl>
    <w:p w14:paraId="5D801CED" w14:textId="77777777" w:rsidR="00B51D2B" w:rsidRPr="00B51D2B" w:rsidRDefault="00B51D2B" w:rsidP="00B51D2B">
      <w:pPr>
        <w:numPr>
          <w:ilvl w:val="0"/>
          <w:numId w:val="5"/>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 xml:space="preserve">Ms. Burrow believes Fusion should enter the market at a pricing point of £39.99 (This is an average pricing point and includes offers that will be launched through loyalty discounts, buy 5 tickets get the sixth ticket at a discount, etc.). This will drive demand and grow the market, which is projected to result in an average load factor of 80% for Fusion. Marketing costs are estimated to be 150% of that incurred by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with other cost elements within the </w:t>
      </w:r>
      <w:proofErr w:type="spellStart"/>
      <w:r w:rsidRPr="00B51D2B">
        <w:rPr>
          <w:rFonts w:ascii="Arial" w:eastAsia="Times New Roman" w:hAnsi="Arial" w:cs="Arial"/>
          <w:color w:val="000000"/>
          <w:sz w:val="21"/>
          <w:szCs w:val="21"/>
          <w:lang w:eastAsia="en-GB"/>
        </w:rPr>
        <w:t>Quickbuses</w:t>
      </w:r>
      <w:proofErr w:type="spellEnd"/>
      <w:r w:rsidRPr="00B51D2B">
        <w:rPr>
          <w:rFonts w:ascii="Arial" w:eastAsia="Times New Roman" w:hAnsi="Arial" w:cs="Arial"/>
          <w:color w:val="000000"/>
          <w:sz w:val="21"/>
          <w:szCs w:val="21"/>
          <w:lang w:eastAsia="en-GB"/>
        </w:rPr>
        <w:t xml:space="preserve"> cost base reflecting the Fusion cost base.</w:t>
      </w:r>
    </w:p>
    <w:p w14:paraId="16E287FE" w14:textId="77777777" w:rsidR="00B51D2B" w:rsidRPr="00B51D2B" w:rsidRDefault="00B51D2B" w:rsidP="00B51D2B">
      <w:pPr>
        <w:numPr>
          <w:ilvl w:val="0"/>
          <w:numId w:val="5"/>
        </w:numPr>
        <w:spacing w:before="120" w:after="120"/>
        <w:ind w:left="576"/>
        <w:rPr>
          <w:rFonts w:ascii="Arial" w:eastAsia="Times New Roman" w:hAnsi="Arial" w:cs="Arial"/>
          <w:color w:val="000000"/>
          <w:sz w:val="21"/>
          <w:szCs w:val="21"/>
          <w:lang w:eastAsia="en-GB"/>
        </w:rPr>
      </w:pPr>
      <w:r w:rsidRPr="00B51D2B">
        <w:rPr>
          <w:rFonts w:ascii="Arial" w:eastAsia="Times New Roman" w:hAnsi="Arial" w:cs="Arial"/>
          <w:color w:val="000000"/>
          <w:sz w:val="21"/>
          <w:szCs w:val="21"/>
          <w:lang w:eastAsia="en-GB"/>
        </w:rPr>
        <w:t>£5,000 in market research costs have been incurred to date by Fusion Transport UK.</w:t>
      </w:r>
    </w:p>
    <w:p w14:paraId="0B87D13A" w14:textId="77777777" w:rsidR="00B51D2B" w:rsidRPr="00B51D2B" w:rsidRDefault="00B51D2B" w:rsidP="00B51D2B">
      <w:pPr>
        <w:rPr>
          <w:rFonts w:ascii="Times New Roman" w:eastAsia="Times New Roman" w:hAnsi="Times New Roman" w:cs="Times New Roman"/>
          <w:lang w:eastAsia="en-GB"/>
        </w:rPr>
      </w:pPr>
    </w:p>
    <w:p w14:paraId="56FE910B" w14:textId="74724927" w:rsidR="00B51D2B" w:rsidRDefault="00B51D2B">
      <w:pPr>
        <w:rPr>
          <w:rFonts w:ascii="Times New Roman" w:hAnsi="Times New Roman" w:cs="Times New Roman"/>
        </w:rPr>
      </w:pPr>
      <w:r>
        <w:rPr>
          <w:rFonts w:ascii="Times New Roman" w:hAnsi="Times New Roman" w:cs="Times New Roman"/>
        </w:rPr>
        <w:br w:type="page"/>
      </w:r>
    </w:p>
    <w:p w14:paraId="304646B0" w14:textId="77777777"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9: CFO Briefing Note on Foreign Exchange Rate and Interest Rate Transactions</w:t>
      </w:r>
    </w:p>
    <w:p w14:paraId="13129B3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following outlines some of the key foreign exchange transactions impacting the Group in the coming months:</w:t>
      </w:r>
    </w:p>
    <w:p w14:paraId="4BD864B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w:t>
      </w:r>
      <w:proofErr w:type="spellStart"/>
      <w:r>
        <w:rPr>
          <w:rFonts w:ascii="Arial" w:hAnsi="Arial" w:cs="Arial"/>
          <w:color w:val="000000"/>
          <w:sz w:val="21"/>
          <w:szCs w:val="21"/>
        </w:rPr>
        <w:t>i</w:t>
      </w:r>
      <w:proofErr w:type="spellEnd"/>
      <w:r>
        <w:rPr>
          <w:rFonts w:ascii="Arial" w:hAnsi="Arial" w:cs="Arial"/>
          <w:color w:val="000000"/>
          <w:sz w:val="21"/>
          <w:szCs w:val="21"/>
        </w:rPr>
        <w:t xml:space="preserve">) Fusion Trading UK is acquiring new manufacturing equipment from Italy. The contracts have been signed. The cost of the equipment is €600,000 and delivery is expected next month. Credit terms of 30 days have been agreed. The current spot rate quoted by a bank is £/€ 1.10 – 1.26, with the </w:t>
      </w:r>
      <w:proofErr w:type="gramStart"/>
      <w:r>
        <w:rPr>
          <w:rFonts w:ascii="Arial" w:hAnsi="Arial" w:cs="Arial"/>
          <w:color w:val="000000"/>
          <w:sz w:val="21"/>
          <w:szCs w:val="21"/>
        </w:rPr>
        <w:t>one month</w:t>
      </w:r>
      <w:proofErr w:type="gramEnd"/>
      <w:r>
        <w:rPr>
          <w:rFonts w:ascii="Arial" w:hAnsi="Arial" w:cs="Arial"/>
          <w:color w:val="000000"/>
          <w:sz w:val="21"/>
          <w:szCs w:val="21"/>
        </w:rPr>
        <w:t xml:space="preserve"> forward rate at £/€ 1.08 – 1.24.</w:t>
      </w:r>
    </w:p>
    <w:p w14:paraId="479BB57D"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(ii) Fusion Trading UK is expecting a payment from an Italian distributor in 3 months’ time of €1.5m. The current quoted spot rate is £/€ 1.10 – 1.26, with the </w:t>
      </w:r>
      <w:proofErr w:type="gramStart"/>
      <w:r>
        <w:rPr>
          <w:rFonts w:ascii="Arial" w:hAnsi="Arial" w:cs="Arial"/>
          <w:color w:val="000000"/>
          <w:sz w:val="21"/>
          <w:szCs w:val="21"/>
        </w:rPr>
        <w:t>3 month</w:t>
      </w:r>
      <w:proofErr w:type="gramEnd"/>
      <w:r>
        <w:rPr>
          <w:rFonts w:ascii="Arial" w:hAnsi="Arial" w:cs="Arial"/>
          <w:color w:val="000000"/>
          <w:sz w:val="21"/>
          <w:szCs w:val="21"/>
        </w:rPr>
        <w:t xml:space="preserve"> forward rate at £/€ 1.07 – 1.23.</w:t>
      </w:r>
    </w:p>
    <w:p w14:paraId="3B8E586C"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(iii) Fusion Property US is purchasing building materials from a </w:t>
      </w:r>
      <w:proofErr w:type="gramStart"/>
      <w:r>
        <w:rPr>
          <w:rFonts w:ascii="Arial" w:hAnsi="Arial" w:cs="Arial"/>
          <w:color w:val="000000"/>
          <w:sz w:val="21"/>
          <w:szCs w:val="21"/>
        </w:rPr>
        <w:t>third party</w:t>
      </w:r>
      <w:proofErr w:type="gramEnd"/>
      <w:r>
        <w:rPr>
          <w:rFonts w:ascii="Arial" w:hAnsi="Arial" w:cs="Arial"/>
          <w:color w:val="000000"/>
          <w:sz w:val="21"/>
          <w:szCs w:val="21"/>
        </w:rPr>
        <w:t xml:space="preserve"> UK supplier for £200,000 in 3 months’ time. The current quoted spot rate is $/£ 0.8121 – 0.8161, with the </w:t>
      </w:r>
      <w:proofErr w:type="gramStart"/>
      <w:r>
        <w:rPr>
          <w:rFonts w:ascii="Arial" w:hAnsi="Arial" w:cs="Arial"/>
          <w:color w:val="000000"/>
          <w:sz w:val="21"/>
          <w:szCs w:val="21"/>
        </w:rPr>
        <w:t>3 month</w:t>
      </w:r>
      <w:proofErr w:type="gramEnd"/>
      <w:r>
        <w:rPr>
          <w:rFonts w:ascii="Arial" w:hAnsi="Arial" w:cs="Arial"/>
          <w:color w:val="000000"/>
          <w:sz w:val="21"/>
          <w:szCs w:val="21"/>
        </w:rPr>
        <w:t xml:space="preserve"> forward rate at 0.8152 – 0.8192.</w:t>
      </w:r>
    </w:p>
    <w:p w14:paraId="5EE3032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(iv) Fusion Property US is seeking to raise an additional amount of debt capital to fund expansion into the Canadian property market. They are looking to raise CAD$22.5m. The spot exchange rate is US$/CAD$ 1.00 – 0.75. Fusion Property US can borrow on a </w:t>
      </w:r>
      <w:proofErr w:type="gramStart"/>
      <w:r>
        <w:rPr>
          <w:rFonts w:ascii="Arial" w:hAnsi="Arial" w:cs="Arial"/>
          <w:color w:val="000000"/>
          <w:sz w:val="21"/>
          <w:szCs w:val="21"/>
        </w:rPr>
        <w:t>10 year</w:t>
      </w:r>
      <w:proofErr w:type="gramEnd"/>
      <w:r>
        <w:rPr>
          <w:rFonts w:ascii="Arial" w:hAnsi="Arial" w:cs="Arial"/>
          <w:color w:val="000000"/>
          <w:sz w:val="21"/>
          <w:szCs w:val="21"/>
        </w:rPr>
        <w:t xml:space="preserve"> term US$ in the US at a fixed rate of 4%, and in Canada in CAD$ at a rate of CAD LIBOR +4.8%. A Canadian </w:t>
      </w:r>
      <w:proofErr w:type="gramStart"/>
      <w:r>
        <w:rPr>
          <w:rFonts w:ascii="Arial" w:hAnsi="Arial" w:cs="Arial"/>
          <w:color w:val="000000"/>
          <w:sz w:val="21"/>
          <w:szCs w:val="21"/>
        </w:rPr>
        <w:t>third party</w:t>
      </w:r>
      <w:proofErr w:type="gramEnd"/>
      <w:r>
        <w:rPr>
          <w:rFonts w:ascii="Arial" w:hAnsi="Arial" w:cs="Arial"/>
          <w:color w:val="000000"/>
          <w:sz w:val="21"/>
          <w:szCs w:val="21"/>
        </w:rPr>
        <w:t xml:space="preserve"> company (West Canada Inc) wishes to expand into the US, and can borrow in Canada at a floating rate of CAD LIBOR + 3.5%, but wishes to borrow US$30m in the US. It has been quoted 9% to borrow </w:t>
      </w:r>
      <w:proofErr w:type="gramStart"/>
      <w:r>
        <w:rPr>
          <w:rFonts w:ascii="Arial" w:hAnsi="Arial" w:cs="Arial"/>
          <w:color w:val="000000"/>
          <w:sz w:val="21"/>
          <w:szCs w:val="21"/>
        </w:rPr>
        <w:t>10 year</w:t>
      </w:r>
      <w:proofErr w:type="gramEnd"/>
      <w:r>
        <w:rPr>
          <w:rFonts w:ascii="Arial" w:hAnsi="Arial" w:cs="Arial"/>
          <w:color w:val="000000"/>
          <w:sz w:val="21"/>
          <w:szCs w:val="21"/>
        </w:rPr>
        <w:t xml:space="preserve"> money in the US. CAD Libor 3 month is currently 2%. The annual bank fee for arranging the swap between the parties is 20bps for each party. Both Fusion Property US and West Canada Inc seek </w:t>
      </w:r>
      <w:proofErr w:type="gramStart"/>
      <w:r>
        <w:rPr>
          <w:rFonts w:ascii="Arial" w:hAnsi="Arial" w:cs="Arial"/>
          <w:color w:val="000000"/>
          <w:sz w:val="21"/>
          <w:szCs w:val="21"/>
        </w:rPr>
        <w:t>10 year</w:t>
      </w:r>
      <w:proofErr w:type="gramEnd"/>
      <w:r>
        <w:rPr>
          <w:rFonts w:ascii="Arial" w:hAnsi="Arial" w:cs="Arial"/>
          <w:color w:val="000000"/>
          <w:sz w:val="21"/>
          <w:szCs w:val="21"/>
        </w:rPr>
        <w:t xml:space="preserve"> debt, and any gain on a hedging arrangement will be shared equally between the parties, with the exchange fixed at the current spot rate.</w:t>
      </w:r>
    </w:p>
    <w:p w14:paraId="45FD83F4"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(v) The following FRA prices are quoted:</w:t>
      </w:r>
    </w:p>
    <w:p w14:paraId="29BC00B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3 vs 6               7.05</w:t>
      </w:r>
    </w:p>
    <w:p w14:paraId="2C74DEA6"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3 vs 5               7.15</w:t>
      </w:r>
    </w:p>
    <w:p w14:paraId="1A8E628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3 vs 8               7.30</w:t>
      </w:r>
    </w:p>
    <w:p w14:paraId="636738F9"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Fusion Property US is seeking to buy a property complex in Texas for $40m. The amount is payable in 3 months’ time. Fusion Property US is disposing of a property in Utah for $</w:t>
      </w:r>
      <w:proofErr w:type="gramStart"/>
      <w:r>
        <w:rPr>
          <w:rFonts w:ascii="Arial" w:hAnsi="Arial" w:cs="Arial"/>
          <w:color w:val="000000"/>
          <w:sz w:val="21"/>
          <w:szCs w:val="21"/>
        </w:rPr>
        <w:t>50m, and</w:t>
      </w:r>
      <w:proofErr w:type="gramEnd"/>
      <w:r>
        <w:rPr>
          <w:rFonts w:ascii="Arial" w:hAnsi="Arial" w:cs="Arial"/>
          <w:color w:val="000000"/>
          <w:sz w:val="21"/>
          <w:szCs w:val="21"/>
        </w:rPr>
        <w:t xml:space="preserve"> will use the disposal proceeds to purchase the property in Texas. </w:t>
      </w:r>
      <w:proofErr w:type="gramStart"/>
      <w:r>
        <w:rPr>
          <w:rFonts w:ascii="Arial" w:hAnsi="Arial" w:cs="Arial"/>
          <w:color w:val="000000"/>
          <w:sz w:val="21"/>
          <w:szCs w:val="21"/>
        </w:rPr>
        <w:t>However</w:t>
      </w:r>
      <w:proofErr w:type="gramEnd"/>
      <w:r>
        <w:rPr>
          <w:rFonts w:ascii="Arial" w:hAnsi="Arial" w:cs="Arial"/>
          <w:color w:val="000000"/>
          <w:sz w:val="21"/>
          <w:szCs w:val="21"/>
        </w:rPr>
        <w:t xml:space="preserve"> the Utah property disposal is not expected to completed until 5 months from now. Fusion Property US can avail of </w:t>
      </w:r>
      <w:proofErr w:type="gramStart"/>
      <w:r>
        <w:rPr>
          <w:rFonts w:ascii="Arial" w:hAnsi="Arial" w:cs="Arial"/>
          <w:color w:val="000000"/>
          <w:sz w:val="21"/>
          <w:szCs w:val="21"/>
        </w:rPr>
        <w:t>short term</w:t>
      </w:r>
      <w:proofErr w:type="gramEnd"/>
      <w:r>
        <w:rPr>
          <w:rFonts w:ascii="Arial" w:hAnsi="Arial" w:cs="Arial"/>
          <w:color w:val="000000"/>
          <w:sz w:val="21"/>
          <w:szCs w:val="21"/>
        </w:rPr>
        <w:t xml:space="preserve"> loan finance at a variable interest rate. The company is concerned that by the time the loan is taken out and repaid, interest rates will have changed.</w:t>
      </w:r>
    </w:p>
    <w:p w14:paraId="0A01976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(vi) There is a level of intra group activity within Fusion involving the movement of foreign currency amounts between currency jurisdictions. The Group has no internal policy on this.</w:t>
      </w:r>
    </w:p>
    <w:p w14:paraId="5F6D4804" w14:textId="7A1B0ACF" w:rsidR="00B51D2B" w:rsidRDefault="00B51D2B">
      <w:pPr>
        <w:rPr>
          <w:rFonts w:ascii="Times New Roman" w:hAnsi="Times New Roman" w:cs="Times New Roman"/>
        </w:rPr>
      </w:pPr>
      <w:r>
        <w:rPr>
          <w:rFonts w:ascii="Times New Roman" w:hAnsi="Times New Roman" w:cs="Times New Roman"/>
        </w:rPr>
        <w:br w:type="page"/>
      </w:r>
    </w:p>
    <w:p w14:paraId="44384995" w14:textId="77777777" w:rsidR="00B51D2B" w:rsidRDefault="00B51D2B" w:rsidP="00B51D2B">
      <w:pPr>
        <w:pStyle w:val="Heading1"/>
        <w:spacing w:before="0" w:beforeAutospacing="0" w:after="150" w:afterAutospacing="0"/>
        <w:rPr>
          <w:rFonts w:ascii="inherit" w:hAnsi="inherit" w:cs="Arial"/>
          <w:color w:val="002158"/>
          <w:sz w:val="31"/>
          <w:szCs w:val="31"/>
        </w:rPr>
      </w:pPr>
      <w:r>
        <w:rPr>
          <w:rFonts w:ascii="inherit" w:hAnsi="inherit" w:cs="Arial"/>
          <w:color w:val="002158"/>
          <w:sz w:val="31"/>
          <w:szCs w:val="31"/>
        </w:rPr>
        <w:lastRenderedPageBreak/>
        <w:t>Appendix 10: UK Manufacturing Unit Capital Proposal Analysis</w:t>
      </w:r>
    </w:p>
    <w:p w14:paraId="3E6BA448"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 xml:space="preserve">The head of the manufacturing </w:t>
      </w:r>
      <w:proofErr w:type="spellStart"/>
      <w:r>
        <w:rPr>
          <w:rFonts w:ascii="Arial" w:hAnsi="Arial" w:cs="Arial"/>
          <w:color w:val="000000"/>
          <w:sz w:val="21"/>
          <w:szCs w:val="21"/>
        </w:rPr>
        <w:t>unitin</w:t>
      </w:r>
      <w:proofErr w:type="spellEnd"/>
      <w:r>
        <w:rPr>
          <w:rFonts w:ascii="Arial" w:hAnsi="Arial" w:cs="Arial"/>
          <w:color w:val="000000"/>
          <w:sz w:val="21"/>
          <w:szCs w:val="21"/>
        </w:rPr>
        <w:t xml:space="preserve"> the UK has received the following 6 capital proposals, which include proposals ranging from investment in new 3D printing technology, to installing a wind energy electricity platform to service the utility requirements of certain factories.</w:t>
      </w:r>
    </w:p>
    <w:p w14:paraId="428A3F1D"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management accountant in the manufacturing team has provided the following financial data.</w:t>
      </w:r>
    </w:p>
    <w:tbl>
      <w:tblPr>
        <w:tblW w:w="8520" w:type="dxa"/>
        <w:tblCellMar>
          <w:top w:w="15" w:type="dxa"/>
          <w:left w:w="15" w:type="dxa"/>
          <w:bottom w:w="15" w:type="dxa"/>
          <w:right w:w="15" w:type="dxa"/>
        </w:tblCellMar>
        <w:tblLook w:val="04A0" w:firstRow="1" w:lastRow="0" w:firstColumn="1" w:lastColumn="0" w:noHBand="0" w:noVBand="1"/>
      </w:tblPr>
      <w:tblGrid>
        <w:gridCol w:w="1477"/>
        <w:gridCol w:w="1114"/>
        <w:gridCol w:w="1114"/>
        <w:gridCol w:w="1114"/>
        <w:gridCol w:w="1114"/>
        <w:gridCol w:w="1114"/>
        <w:gridCol w:w="1473"/>
      </w:tblGrid>
      <w:tr w:rsidR="00B51D2B" w14:paraId="4A34B409" w14:textId="77777777" w:rsidTr="00B51D2B">
        <w:tc>
          <w:tcPr>
            <w:tcW w:w="0" w:type="auto"/>
            <w:tcBorders>
              <w:top w:val="nil"/>
              <w:left w:val="nil"/>
              <w:bottom w:val="nil"/>
              <w:right w:val="nil"/>
            </w:tcBorders>
            <w:tcMar>
              <w:top w:w="150" w:type="dxa"/>
              <w:left w:w="225" w:type="dxa"/>
              <w:bottom w:w="135" w:type="dxa"/>
              <w:right w:w="150" w:type="dxa"/>
            </w:tcMar>
            <w:hideMark/>
          </w:tcPr>
          <w:p w14:paraId="4CA41706" w14:textId="77777777" w:rsidR="00B51D2B" w:rsidRDefault="00B51D2B">
            <w:pPr>
              <w:rPr>
                <w:rFonts w:ascii="Times New Roman" w:hAnsi="Times New Roman" w:cs="Times New Roman"/>
                <w:color w:val="000000"/>
              </w:rPr>
            </w:pPr>
            <w:r>
              <w:rPr>
                <w:color w:val="000000"/>
              </w:rPr>
              <w:t>Project Ref</w:t>
            </w:r>
          </w:p>
        </w:tc>
        <w:tc>
          <w:tcPr>
            <w:tcW w:w="0" w:type="auto"/>
            <w:tcBorders>
              <w:top w:val="nil"/>
              <w:left w:val="nil"/>
              <w:bottom w:val="nil"/>
              <w:right w:val="nil"/>
            </w:tcBorders>
            <w:tcMar>
              <w:top w:w="150" w:type="dxa"/>
              <w:left w:w="150" w:type="dxa"/>
              <w:bottom w:w="135" w:type="dxa"/>
              <w:right w:w="150" w:type="dxa"/>
            </w:tcMar>
            <w:hideMark/>
          </w:tcPr>
          <w:p w14:paraId="4E1412B3" w14:textId="77777777" w:rsidR="00B51D2B" w:rsidRDefault="00B51D2B">
            <w:pPr>
              <w:rPr>
                <w:color w:val="000000"/>
              </w:rPr>
            </w:pPr>
            <w:r>
              <w:rPr>
                <w:color w:val="000000"/>
              </w:rPr>
              <w:t>Year 1</w:t>
            </w:r>
          </w:p>
        </w:tc>
        <w:tc>
          <w:tcPr>
            <w:tcW w:w="0" w:type="auto"/>
            <w:tcBorders>
              <w:top w:val="nil"/>
              <w:left w:val="nil"/>
              <w:bottom w:val="nil"/>
              <w:right w:val="nil"/>
            </w:tcBorders>
            <w:tcMar>
              <w:top w:w="150" w:type="dxa"/>
              <w:left w:w="150" w:type="dxa"/>
              <w:bottom w:w="135" w:type="dxa"/>
              <w:right w:w="150" w:type="dxa"/>
            </w:tcMar>
            <w:hideMark/>
          </w:tcPr>
          <w:p w14:paraId="731E4ED7" w14:textId="77777777" w:rsidR="00B51D2B" w:rsidRDefault="00B51D2B">
            <w:pPr>
              <w:rPr>
                <w:color w:val="000000"/>
              </w:rPr>
            </w:pPr>
            <w:r>
              <w:rPr>
                <w:color w:val="000000"/>
              </w:rPr>
              <w:t>Year 2</w:t>
            </w:r>
          </w:p>
        </w:tc>
        <w:tc>
          <w:tcPr>
            <w:tcW w:w="0" w:type="auto"/>
            <w:tcBorders>
              <w:top w:val="nil"/>
              <w:left w:val="nil"/>
              <w:bottom w:val="nil"/>
              <w:right w:val="nil"/>
            </w:tcBorders>
            <w:tcMar>
              <w:top w:w="150" w:type="dxa"/>
              <w:left w:w="150" w:type="dxa"/>
              <w:bottom w:w="135" w:type="dxa"/>
              <w:right w:w="150" w:type="dxa"/>
            </w:tcMar>
            <w:hideMark/>
          </w:tcPr>
          <w:p w14:paraId="6CC38AEF" w14:textId="77777777" w:rsidR="00B51D2B" w:rsidRDefault="00B51D2B">
            <w:pPr>
              <w:rPr>
                <w:color w:val="000000"/>
              </w:rPr>
            </w:pPr>
            <w:r>
              <w:rPr>
                <w:color w:val="000000"/>
              </w:rPr>
              <w:t>Year 3</w:t>
            </w:r>
          </w:p>
        </w:tc>
        <w:tc>
          <w:tcPr>
            <w:tcW w:w="0" w:type="auto"/>
            <w:tcBorders>
              <w:top w:val="nil"/>
              <w:left w:val="nil"/>
              <w:bottom w:val="nil"/>
              <w:right w:val="nil"/>
            </w:tcBorders>
            <w:tcMar>
              <w:top w:w="150" w:type="dxa"/>
              <w:left w:w="150" w:type="dxa"/>
              <w:bottom w:w="135" w:type="dxa"/>
              <w:right w:w="150" w:type="dxa"/>
            </w:tcMar>
            <w:hideMark/>
          </w:tcPr>
          <w:p w14:paraId="24B5E458" w14:textId="77777777" w:rsidR="00B51D2B" w:rsidRDefault="00B51D2B">
            <w:pPr>
              <w:rPr>
                <w:color w:val="000000"/>
              </w:rPr>
            </w:pPr>
            <w:r>
              <w:rPr>
                <w:color w:val="000000"/>
              </w:rPr>
              <w:t>Year 4</w:t>
            </w:r>
          </w:p>
        </w:tc>
        <w:tc>
          <w:tcPr>
            <w:tcW w:w="0" w:type="auto"/>
            <w:tcBorders>
              <w:top w:val="nil"/>
              <w:left w:val="nil"/>
              <w:bottom w:val="nil"/>
              <w:right w:val="nil"/>
            </w:tcBorders>
            <w:tcMar>
              <w:top w:w="150" w:type="dxa"/>
              <w:left w:w="150" w:type="dxa"/>
              <w:bottom w:w="135" w:type="dxa"/>
              <w:right w:w="150" w:type="dxa"/>
            </w:tcMar>
            <w:hideMark/>
          </w:tcPr>
          <w:p w14:paraId="7105BEA3" w14:textId="77777777" w:rsidR="00B51D2B" w:rsidRDefault="00B51D2B">
            <w:pPr>
              <w:rPr>
                <w:color w:val="000000"/>
              </w:rPr>
            </w:pPr>
            <w:r>
              <w:rPr>
                <w:color w:val="000000"/>
              </w:rPr>
              <w:t>Year 5</w:t>
            </w:r>
          </w:p>
        </w:tc>
        <w:tc>
          <w:tcPr>
            <w:tcW w:w="0" w:type="auto"/>
            <w:tcBorders>
              <w:top w:val="nil"/>
              <w:left w:val="nil"/>
              <w:bottom w:val="nil"/>
              <w:right w:val="nil"/>
            </w:tcBorders>
            <w:tcMar>
              <w:top w:w="150" w:type="dxa"/>
              <w:left w:w="150" w:type="dxa"/>
              <w:bottom w:w="135" w:type="dxa"/>
              <w:right w:w="225" w:type="dxa"/>
            </w:tcMar>
            <w:hideMark/>
          </w:tcPr>
          <w:p w14:paraId="046F55AD" w14:textId="77777777" w:rsidR="00B51D2B" w:rsidRDefault="00B51D2B">
            <w:pPr>
              <w:pStyle w:val="NormalWeb"/>
              <w:spacing w:before="0" w:beforeAutospacing="0" w:after="225" w:afterAutospacing="0"/>
              <w:rPr>
                <w:color w:val="000000"/>
              </w:rPr>
            </w:pPr>
            <w:r>
              <w:rPr>
                <w:color w:val="000000"/>
              </w:rPr>
              <w:t>Investment</w:t>
            </w:r>
          </w:p>
          <w:p w14:paraId="3E367509" w14:textId="77777777" w:rsidR="00B51D2B" w:rsidRDefault="00B51D2B">
            <w:pPr>
              <w:pStyle w:val="NormalWeb"/>
              <w:spacing w:before="0" w:beforeAutospacing="0" w:after="0" w:afterAutospacing="0"/>
              <w:rPr>
                <w:color w:val="000000"/>
              </w:rPr>
            </w:pPr>
            <w:r>
              <w:rPr>
                <w:color w:val="000000"/>
              </w:rPr>
              <w:t>(Year 0)</w:t>
            </w:r>
          </w:p>
        </w:tc>
      </w:tr>
      <w:tr w:rsidR="00B51D2B" w14:paraId="7322CA42" w14:textId="77777777" w:rsidTr="00B51D2B">
        <w:tc>
          <w:tcPr>
            <w:tcW w:w="0" w:type="auto"/>
            <w:tcBorders>
              <w:top w:val="nil"/>
              <w:left w:val="nil"/>
              <w:bottom w:val="nil"/>
              <w:right w:val="nil"/>
            </w:tcBorders>
            <w:tcMar>
              <w:top w:w="150" w:type="dxa"/>
              <w:left w:w="225" w:type="dxa"/>
              <w:bottom w:w="135" w:type="dxa"/>
              <w:right w:w="150" w:type="dxa"/>
            </w:tcMar>
            <w:hideMark/>
          </w:tcPr>
          <w:p w14:paraId="62EB87F9"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00CC38F9" w14:textId="77777777" w:rsidR="00B51D2B" w:rsidRDefault="00B51D2B">
            <w:pPr>
              <w:rPr>
                <w:color w:val="000000"/>
              </w:rPr>
            </w:pPr>
            <w:r>
              <w:rPr>
                <w:color w:val="000000"/>
              </w:rPr>
              <w:t>£</w:t>
            </w:r>
          </w:p>
        </w:tc>
        <w:tc>
          <w:tcPr>
            <w:tcW w:w="0" w:type="auto"/>
            <w:tcBorders>
              <w:top w:val="nil"/>
              <w:left w:val="nil"/>
              <w:bottom w:val="nil"/>
              <w:right w:val="nil"/>
            </w:tcBorders>
            <w:tcMar>
              <w:top w:w="150" w:type="dxa"/>
              <w:left w:w="150" w:type="dxa"/>
              <w:bottom w:w="135" w:type="dxa"/>
              <w:right w:w="150" w:type="dxa"/>
            </w:tcMar>
            <w:hideMark/>
          </w:tcPr>
          <w:p w14:paraId="35B24FF2" w14:textId="77777777" w:rsidR="00B51D2B" w:rsidRDefault="00B51D2B">
            <w:pPr>
              <w:rPr>
                <w:color w:val="000000"/>
              </w:rPr>
            </w:pPr>
            <w:r>
              <w:rPr>
                <w:color w:val="000000"/>
              </w:rPr>
              <w:t>£</w:t>
            </w:r>
          </w:p>
        </w:tc>
        <w:tc>
          <w:tcPr>
            <w:tcW w:w="0" w:type="auto"/>
            <w:tcBorders>
              <w:top w:val="nil"/>
              <w:left w:val="nil"/>
              <w:bottom w:val="nil"/>
              <w:right w:val="nil"/>
            </w:tcBorders>
            <w:tcMar>
              <w:top w:w="150" w:type="dxa"/>
              <w:left w:w="150" w:type="dxa"/>
              <w:bottom w:w="135" w:type="dxa"/>
              <w:right w:w="150" w:type="dxa"/>
            </w:tcMar>
            <w:hideMark/>
          </w:tcPr>
          <w:p w14:paraId="14B1C631" w14:textId="77777777" w:rsidR="00B51D2B" w:rsidRDefault="00B51D2B">
            <w:pPr>
              <w:rPr>
                <w:color w:val="000000"/>
              </w:rPr>
            </w:pPr>
            <w:r>
              <w:rPr>
                <w:color w:val="000000"/>
              </w:rPr>
              <w:t>£</w:t>
            </w:r>
          </w:p>
        </w:tc>
        <w:tc>
          <w:tcPr>
            <w:tcW w:w="0" w:type="auto"/>
            <w:tcBorders>
              <w:top w:val="nil"/>
              <w:left w:val="nil"/>
              <w:bottom w:val="nil"/>
              <w:right w:val="nil"/>
            </w:tcBorders>
            <w:tcMar>
              <w:top w:w="150" w:type="dxa"/>
              <w:left w:w="150" w:type="dxa"/>
              <w:bottom w:w="135" w:type="dxa"/>
              <w:right w:w="150" w:type="dxa"/>
            </w:tcMar>
            <w:hideMark/>
          </w:tcPr>
          <w:p w14:paraId="030D0B7D" w14:textId="77777777" w:rsidR="00B51D2B" w:rsidRDefault="00B51D2B">
            <w:pPr>
              <w:rPr>
                <w:color w:val="000000"/>
              </w:rPr>
            </w:pPr>
            <w:r>
              <w:rPr>
                <w:color w:val="000000"/>
              </w:rPr>
              <w:t>£</w:t>
            </w:r>
          </w:p>
        </w:tc>
        <w:tc>
          <w:tcPr>
            <w:tcW w:w="0" w:type="auto"/>
            <w:tcBorders>
              <w:top w:val="nil"/>
              <w:left w:val="nil"/>
              <w:bottom w:val="nil"/>
              <w:right w:val="nil"/>
            </w:tcBorders>
            <w:tcMar>
              <w:top w:w="150" w:type="dxa"/>
              <w:left w:w="150" w:type="dxa"/>
              <w:bottom w:w="135" w:type="dxa"/>
              <w:right w:w="150" w:type="dxa"/>
            </w:tcMar>
            <w:hideMark/>
          </w:tcPr>
          <w:p w14:paraId="267E6B0A" w14:textId="77777777" w:rsidR="00B51D2B" w:rsidRDefault="00B51D2B">
            <w:pPr>
              <w:rPr>
                <w:color w:val="000000"/>
              </w:rPr>
            </w:pPr>
            <w:r>
              <w:rPr>
                <w:color w:val="000000"/>
              </w:rPr>
              <w:t>£</w:t>
            </w:r>
          </w:p>
        </w:tc>
        <w:tc>
          <w:tcPr>
            <w:tcW w:w="0" w:type="auto"/>
            <w:tcBorders>
              <w:top w:val="nil"/>
              <w:left w:val="nil"/>
              <w:bottom w:val="nil"/>
              <w:right w:val="nil"/>
            </w:tcBorders>
            <w:tcMar>
              <w:top w:w="150" w:type="dxa"/>
              <w:left w:w="150" w:type="dxa"/>
              <w:bottom w:w="135" w:type="dxa"/>
              <w:right w:w="225" w:type="dxa"/>
            </w:tcMar>
            <w:hideMark/>
          </w:tcPr>
          <w:p w14:paraId="5ADD340D" w14:textId="77777777" w:rsidR="00B51D2B" w:rsidRDefault="00B51D2B">
            <w:pPr>
              <w:rPr>
                <w:color w:val="000000"/>
              </w:rPr>
            </w:pPr>
            <w:r>
              <w:rPr>
                <w:color w:val="000000"/>
              </w:rPr>
              <w:t>£</w:t>
            </w:r>
          </w:p>
        </w:tc>
      </w:tr>
      <w:tr w:rsidR="00B51D2B" w14:paraId="0D71F3CD" w14:textId="77777777" w:rsidTr="00B51D2B">
        <w:tc>
          <w:tcPr>
            <w:tcW w:w="0" w:type="auto"/>
            <w:tcBorders>
              <w:top w:val="nil"/>
              <w:left w:val="nil"/>
              <w:bottom w:val="nil"/>
              <w:right w:val="nil"/>
            </w:tcBorders>
            <w:tcMar>
              <w:top w:w="150" w:type="dxa"/>
              <w:left w:w="225" w:type="dxa"/>
              <w:bottom w:w="135" w:type="dxa"/>
              <w:right w:w="150" w:type="dxa"/>
            </w:tcMar>
            <w:hideMark/>
          </w:tcPr>
          <w:p w14:paraId="18B649A1" w14:textId="77777777" w:rsidR="00B51D2B" w:rsidRDefault="00B51D2B">
            <w:pPr>
              <w:rPr>
                <w:color w:val="000000"/>
              </w:rPr>
            </w:pPr>
            <w:r>
              <w:rPr>
                <w:color w:val="000000"/>
              </w:rPr>
              <w:t>P1</w:t>
            </w:r>
          </w:p>
        </w:tc>
        <w:tc>
          <w:tcPr>
            <w:tcW w:w="0" w:type="auto"/>
            <w:tcBorders>
              <w:top w:val="nil"/>
              <w:left w:val="nil"/>
              <w:bottom w:val="nil"/>
              <w:right w:val="nil"/>
            </w:tcBorders>
            <w:tcMar>
              <w:top w:w="150" w:type="dxa"/>
              <w:left w:w="150" w:type="dxa"/>
              <w:bottom w:w="135" w:type="dxa"/>
              <w:right w:w="150" w:type="dxa"/>
            </w:tcMar>
            <w:hideMark/>
          </w:tcPr>
          <w:p w14:paraId="24335E83" w14:textId="77777777" w:rsidR="00B51D2B" w:rsidRDefault="00B51D2B">
            <w:pPr>
              <w:rPr>
                <w:color w:val="000000"/>
              </w:rPr>
            </w:pPr>
            <w:r>
              <w:rPr>
                <w:color w:val="000000"/>
              </w:rPr>
              <w:t>650,000</w:t>
            </w:r>
          </w:p>
        </w:tc>
        <w:tc>
          <w:tcPr>
            <w:tcW w:w="0" w:type="auto"/>
            <w:tcBorders>
              <w:top w:val="nil"/>
              <w:left w:val="nil"/>
              <w:bottom w:val="nil"/>
              <w:right w:val="nil"/>
            </w:tcBorders>
            <w:tcMar>
              <w:top w:w="150" w:type="dxa"/>
              <w:left w:w="150" w:type="dxa"/>
              <w:bottom w:w="135" w:type="dxa"/>
              <w:right w:w="150" w:type="dxa"/>
            </w:tcMar>
            <w:hideMark/>
          </w:tcPr>
          <w:p w14:paraId="61BD83D5" w14:textId="77777777" w:rsidR="00B51D2B" w:rsidRDefault="00B51D2B">
            <w:pPr>
              <w:rPr>
                <w:color w:val="000000"/>
              </w:rPr>
            </w:pPr>
            <w:r>
              <w:rPr>
                <w:color w:val="000000"/>
              </w:rPr>
              <w:t>700,000</w:t>
            </w:r>
          </w:p>
        </w:tc>
        <w:tc>
          <w:tcPr>
            <w:tcW w:w="0" w:type="auto"/>
            <w:tcBorders>
              <w:top w:val="nil"/>
              <w:left w:val="nil"/>
              <w:bottom w:val="nil"/>
              <w:right w:val="nil"/>
            </w:tcBorders>
            <w:tcMar>
              <w:top w:w="150" w:type="dxa"/>
              <w:left w:w="150" w:type="dxa"/>
              <w:bottom w:w="135" w:type="dxa"/>
              <w:right w:w="150" w:type="dxa"/>
            </w:tcMar>
            <w:hideMark/>
          </w:tcPr>
          <w:p w14:paraId="3E775DB8" w14:textId="77777777" w:rsidR="00B51D2B" w:rsidRDefault="00B51D2B">
            <w:pPr>
              <w:rPr>
                <w:color w:val="000000"/>
              </w:rPr>
            </w:pPr>
            <w:r>
              <w:rPr>
                <w:color w:val="000000"/>
              </w:rPr>
              <w:t>750,000</w:t>
            </w:r>
          </w:p>
        </w:tc>
        <w:tc>
          <w:tcPr>
            <w:tcW w:w="0" w:type="auto"/>
            <w:tcBorders>
              <w:top w:val="nil"/>
              <w:left w:val="nil"/>
              <w:bottom w:val="nil"/>
              <w:right w:val="nil"/>
            </w:tcBorders>
            <w:tcMar>
              <w:top w:w="150" w:type="dxa"/>
              <w:left w:w="150" w:type="dxa"/>
              <w:bottom w:w="135" w:type="dxa"/>
              <w:right w:w="150" w:type="dxa"/>
            </w:tcMar>
            <w:hideMark/>
          </w:tcPr>
          <w:p w14:paraId="04531F6F" w14:textId="77777777" w:rsidR="00B51D2B" w:rsidRDefault="00B51D2B">
            <w:pPr>
              <w:rPr>
                <w:color w:val="000000"/>
              </w:rPr>
            </w:pPr>
            <w:r>
              <w:rPr>
                <w:color w:val="000000"/>
              </w:rPr>
              <w:t>725,000</w:t>
            </w:r>
          </w:p>
        </w:tc>
        <w:tc>
          <w:tcPr>
            <w:tcW w:w="0" w:type="auto"/>
            <w:tcBorders>
              <w:top w:val="nil"/>
              <w:left w:val="nil"/>
              <w:bottom w:val="nil"/>
              <w:right w:val="nil"/>
            </w:tcBorders>
            <w:tcMar>
              <w:top w:w="150" w:type="dxa"/>
              <w:left w:w="150" w:type="dxa"/>
              <w:bottom w:w="135" w:type="dxa"/>
              <w:right w:w="150" w:type="dxa"/>
            </w:tcMar>
            <w:hideMark/>
          </w:tcPr>
          <w:p w14:paraId="03E992A9" w14:textId="77777777" w:rsidR="00B51D2B" w:rsidRDefault="00B51D2B">
            <w:pPr>
              <w:rPr>
                <w:color w:val="000000"/>
              </w:rPr>
            </w:pPr>
            <w:r>
              <w:rPr>
                <w:color w:val="000000"/>
              </w:rPr>
              <w:t>700,000</w:t>
            </w:r>
          </w:p>
        </w:tc>
        <w:tc>
          <w:tcPr>
            <w:tcW w:w="0" w:type="auto"/>
            <w:tcBorders>
              <w:top w:val="nil"/>
              <w:left w:val="nil"/>
              <w:bottom w:val="nil"/>
              <w:right w:val="nil"/>
            </w:tcBorders>
            <w:tcMar>
              <w:top w:w="150" w:type="dxa"/>
              <w:left w:w="150" w:type="dxa"/>
              <w:bottom w:w="135" w:type="dxa"/>
              <w:right w:w="225" w:type="dxa"/>
            </w:tcMar>
            <w:hideMark/>
          </w:tcPr>
          <w:p w14:paraId="32AC0CC0" w14:textId="77777777" w:rsidR="00B51D2B" w:rsidRDefault="00B51D2B">
            <w:pPr>
              <w:rPr>
                <w:color w:val="000000"/>
              </w:rPr>
            </w:pPr>
            <w:r>
              <w:rPr>
                <w:color w:val="000000"/>
              </w:rPr>
              <w:t>2,500,000</w:t>
            </w:r>
          </w:p>
        </w:tc>
      </w:tr>
      <w:tr w:rsidR="00B51D2B" w14:paraId="69C5EB49" w14:textId="77777777" w:rsidTr="00B51D2B">
        <w:tc>
          <w:tcPr>
            <w:tcW w:w="0" w:type="auto"/>
            <w:tcBorders>
              <w:top w:val="nil"/>
              <w:left w:val="nil"/>
              <w:bottom w:val="nil"/>
              <w:right w:val="nil"/>
            </w:tcBorders>
            <w:tcMar>
              <w:top w:w="150" w:type="dxa"/>
              <w:left w:w="225" w:type="dxa"/>
              <w:bottom w:w="135" w:type="dxa"/>
              <w:right w:w="150" w:type="dxa"/>
            </w:tcMar>
            <w:hideMark/>
          </w:tcPr>
          <w:p w14:paraId="67A2AEFA" w14:textId="77777777" w:rsidR="00B51D2B" w:rsidRDefault="00B51D2B">
            <w:pPr>
              <w:rPr>
                <w:color w:val="000000"/>
              </w:rPr>
            </w:pPr>
            <w:r>
              <w:rPr>
                <w:color w:val="000000"/>
              </w:rPr>
              <w:t>P2</w:t>
            </w:r>
          </w:p>
        </w:tc>
        <w:tc>
          <w:tcPr>
            <w:tcW w:w="0" w:type="auto"/>
            <w:tcBorders>
              <w:top w:val="nil"/>
              <w:left w:val="nil"/>
              <w:bottom w:val="nil"/>
              <w:right w:val="nil"/>
            </w:tcBorders>
            <w:tcMar>
              <w:top w:w="150" w:type="dxa"/>
              <w:left w:w="150" w:type="dxa"/>
              <w:bottom w:w="135" w:type="dxa"/>
              <w:right w:w="150" w:type="dxa"/>
            </w:tcMar>
            <w:hideMark/>
          </w:tcPr>
          <w:p w14:paraId="671F8CCD" w14:textId="77777777" w:rsidR="00B51D2B" w:rsidRDefault="00B51D2B">
            <w:pPr>
              <w:rPr>
                <w:color w:val="000000"/>
              </w:rPr>
            </w:pPr>
            <w:r>
              <w:rPr>
                <w:color w:val="000000"/>
              </w:rPr>
              <w:t>500,000</w:t>
            </w:r>
          </w:p>
        </w:tc>
        <w:tc>
          <w:tcPr>
            <w:tcW w:w="0" w:type="auto"/>
            <w:tcBorders>
              <w:top w:val="nil"/>
              <w:left w:val="nil"/>
              <w:bottom w:val="nil"/>
              <w:right w:val="nil"/>
            </w:tcBorders>
            <w:tcMar>
              <w:top w:w="150" w:type="dxa"/>
              <w:left w:w="150" w:type="dxa"/>
              <w:bottom w:w="135" w:type="dxa"/>
              <w:right w:w="150" w:type="dxa"/>
            </w:tcMar>
            <w:hideMark/>
          </w:tcPr>
          <w:p w14:paraId="40698876" w14:textId="77777777" w:rsidR="00B51D2B" w:rsidRDefault="00B51D2B">
            <w:pPr>
              <w:rPr>
                <w:color w:val="000000"/>
              </w:rPr>
            </w:pPr>
            <w:r>
              <w:rPr>
                <w:color w:val="000000"/>
              </w:rPr>
              <w:t>500,000</w:t>
            </w:r>
          </w:p>
        </w:tc>
        <w:tc>
          <w:tcPr>
            <w:tcW w:w="0" w:type="auto"/>
            <w:tcBorders>
              <w:top w:val="nil"/>
              <w:left w:val="nil"/>
              <w:bottom w:val="nil"/>
              <w:right w:val="nil"/>
            </w:tcBorders>
            <w:tcMar>
              <w:top w:w="150" w:type="dxa"/>
              <w:left w:w="150" w:type="dxa"/>
              <w:bottom w:w="135" w:type="dxa"/>
              <w:right w:w="150" w:type="dxa"/>
            </w:tcMar>
            <w:hideMark/>
          </w:tcPr>
          <w:p w14:paraId="2BA4F79A" w14:textId="77777777" w:rsidR="00B51D2B" w:rsidRDefault="00B51D2B">
            <w:pPr>
              <w:rPr>
                <w:color w:val="000000"/>
              </w:rPr>
            </w:pPr>
            <w:r>
              <w:rPr>
                <w:color w:val="000000"/>
              </w:rPr>
              <w:t>500,000</w:t>
            </w:r>
          </w:p>
        </w:tc>
        <w:tc>
          <w:tcPr>
            <w:tcW w:w="0" w:type="auto"/>
            <w:tcBorders>
              <w:top w:val="nil"/>
              <w:left w:val="nil"/>
              <w:bottom w:val="nil"/>
              <w:right w:val="nil"/>
            </w:tcBorders>
            <w:tcMar>
              <w:top w:w="150" w:type="dxa"/>
              <w:left w:w="150" w:type="dxa"/>
              <w:bottom w:w="135" w:type="dxa"/>
              <w:right w:w="150" w:type="dxa"/>
            </w:tcMar>
            <w:hideMark/>
          </w:tcPr>
          <w:p w14:paraId="72BB9586" w14:textId="77777777" w:rsidR="00B51D2B" w:rsidRDefault="00B51D2B">
            <w:pPr>
              <w:rPr>
                <w:color w:val="000000"/>
              </w:rPr>
            </w:pPr>
            <w:r>
              <w:rPr>
                <w:color w:val="000000"/>
              </w:rPr>
              <w:t>500,000</w:t>
            </w:r>
          </w:p>
        </w:tc>
        <w:tc>
          <w:tcPr>
            <w:tcW w:w="0" w:type="auto"/>
            <w:tcBorders>
              <w:top w:val="nil"/>
              <w:left w:val="nil"/>
              <w:bottom w:val="nil"/>
              <w:right w:val="nil"/>
            </w:tcBorders>
            <w:tcMar>
              <w:top w:w="150" w:type="dxa"/>
              <w:left w:w="150" w:type="dxa"/>
              <w:bottom w:w="135" w:type="dxa"/>
              <w:right w:w="150" w:type="dxa"/>
            </w:tcMar>
            <w:hideMark/>
          </w:tcPr>
          <w:p w14:paraId="216439EE" w14:textId="77777777" w:rsidR="00B51D2B" w:rsidRDefault="00B51D2B">
            <w:pPr>
              <w:rPr>
                <w:color w:val="000000"/>
              </w:rPr>
            </w:pPr>
            <w:r>
              <w:rPr>
                <w:color w:val="000000"/>
              </w:rPr>
              <w:t>500,000</w:t>
            </w:r>
          </w:p>
        </w:tc>
        <w:tc>
          <w:tcPr>
            <w:tcW w:w="0" w:type="auto"/>
            <w:tcBorders>
              <w:top w:val="nil"/>
              <w:left w:val="nil"/>
              <w:bottom w:val="nil"/>
              <w:right w:val="nil"/>
            </w:tcBorders>
            <w:tcMar>
              <w:top w:w="150" w:type="dxa"/>
              <w:left w:w="150" w:type="dxa"/>
              <w:bottom w:w="135" w:type="dxa"/>
              <w:right w:w="225" w:type="dxa"/>
            </w:tcMar>
            <w:hideMark/>
          </w:tcPr>
          <w:p w14:paraId="1D0F29DE" w14:textId="77777777" w:rsidR="00B51D2B" w:rsidRDefault="00B51D2B">
            <w:pPr>
              <w:rPr>
                <w:color w:val="000000"/>
              </w:rPr>
            </w:pPr>
            <w:r>
              <w:rPr>
                <w:color w:val="000000"/>
              </w:rPr>
              <w:t>1,800,000</w:t>
            </w:r>
          </w:p>
        </w:tc>
      </w:tr>
      <w:tr w:rsidR="00B51D2B" w14:paraId="296734A8" w14:textId="77777777" w:rsidTr="00B51D2B">
        <w:tc>
          <w:tcPr>
            <w:tcW w:w="0" w:type="auto"/>
            <w:tcBorders>
              <w:top w:val="nil"/>
              <w:left w:val="nil"/>
              <w:bottom w:val="nil"/>
              <w:right w:val="nil"/>
            </w:tcBorders>
            <w:tcMar>
              <w:top w:w="150" w:type="dxa"/>
              <w:left w:w="225" w:type="dxa"/>
              <w:bottom w:w="135" w:type="dxa"/>
              <w:right w:w="150" w:type="dxa"/>
            </w:tcMar>
            <w:hideMark/>
          </w:tcPr>
          <w:p w14:paraId="68E02DDA" w14:textId="77777777" w:rsidR="00B51D2B" w:rsidRDefault="00B51D2B">
            <w:pPr>
              <w:rPr>
                <w:color w:val="000000"/>
              </w:rPr>
            </w:pPr>
            <w:r>
              <w:rPr>
                <w:color w:val="000000"/>
              </w:rPr>
              <w:t>P3</w:t>
            </w:r>
          </w:p>
        </w:tc>
        <w:tc>
          <w:tcPr>
            <w:tcW w:w="0" w:type="auto"/>
            <w:tcBorders>
              <w:top w:val="nil"/>
              <w:left w:val="nil"/>
              <w:bottom w:val="nil"/>
              <w:right w:val="nil"/>
            </w:tcBorders>
            <w:tcMar>
              <w:top w:w="150" w:type="dxa"/>
              <w:left w:w="150" w:type="dxa"/>
              <w:bottom w:w="135" w:type="dxa"/>
              <w:right w:w="150" w:type="dxa"/>
            </w:tcMar>
            <w:hideMark/>
          </w:tcPr>
          <w:p w14:paraId="7B4BF855" w14:textId="77777777" w:rsidR="00B51D2B" w:rsidRDefault="00B51D2B">
            <w:pPr>
              <w:rPr>
                <w:color w:val="000000"/>
              </w:rPr>
            </w:pPr>
            <w:r>
              <w:rPr>
                <w:color w:val="000000"/>
              </w:rPr>
              <w:t>900,000</w:t>
            </w:r>
          </w:p>
        </w:tc>
        <w:tc>
          <w:tcPr>
            <w:tcW w:w="0" w:type="auto"/>
            <w:tcBorders>
              <w:top w:val="nil"/>
              <w:left w:val="nil"/>
              <w:bottom w:val="nil"/>
              <w:right w:val="nil"/>
            </w:tcBorders>
            <w:tcMar>
              <w:top w:w="150" w:type="dxa"/>
              <w:left w:w="150" w:type="dxa"/>
              <w:bottom w:w="135" w:type="dxa"/>
              <w:right w:w="150" w:type="dxa"/>
            </w:tcMar>
            <w:hideMark/>
          </w:tcPr>
          <w:p w14:paraId="2C82C38D" w14:textId="77777777" w:rsidR="00B51D2B" w:rsidRDefault="00B51D2B">
            <w:pPr>
              <w:rPr>
                <w:color w:val="000000"/>
              </w:rPr>
            </w:pPr>
            <w:r>
              <w:rPr>
                <w:color w:val="000000"/>
              </w:rPr>
              <w:t>900,000</w:t>
            </w:r>
          </w:p>
        </w:tc>
        <w:tc>
          <w:tcPr>
            <w:tcW w:w="0" w:type="auto"/>
            <w:tcBorders>
              <w:top w:val="nil"/>
              <w:left w:val="nil"/>
              <w:bottom w:val="nil"/>
              <w:right w:val="nil"/>
            </w:tcBorders>
            <w:tcMar>
              <w:top w:w="150" w:type="dxa"/>
              <w:left w:w="150" w:type="dxa"/>
              <w:bottom w:w="135" w:type="dxa"/>
              <w:right w:w="150" w:type="dxa"/>
            </w:tcMar>
            <w:hideMark/>
          </w:tcPr>
          <w:p w14:paraId="2F94B6A4" w14:textId="77777777" w:rsidR="00B51D2B" w:rsidRDefault="00B51D2B">
            <w:pPr>
              <w:rPr>
                <w:color w:val="000000"/>
              </w:rPr>
            </w:pPr>
            <w:r>
              <w:rPr>
                <w:color w:val="000000"/>
              </w:rPr>
              <w:t>0</w:t>
            </w:r>
          </w:p>
        </w:tc>
        <w:tc>
          <w:tcPr>
            <w:tcW w:w="0" w:type="auto"/>
            <w:tcBorders>
              <w:top w:val="nil"/>
              <w:left w:val="nil"/>
              <w:bottom w:val="nil"/>
              <w:right w:val="nil"/>
            </w:tcBorders>
            <w:tcMar>
              <w:top w:w="150" w:type="dxa"/>
              <w:left w:w="150" w:type="dxa"/>
              <w:bottom w:w="135" w:type="dxa"/>
              <w:right w:w="150" w:type="dxa"/>
            </w:tcMar>
            <w:hideMark/>
          </w:tcPr>
          <w:p w14:paraId="772F70D1" w14:textId="77777777" w:rsidR="00B51D2B" w:rsidRDefault="00B51D2B">
            <w:pPr>
              <w:rPr>
                <w:color w:val="000000"/>
              </w:rPr>
            </w:pPr>
            <w:r>
              <w:rPr>
                <w:color w:val="000000"/>
              </w:rPr>
              <w:t>0</w:t>
            </w:r>
          </w:p>
        </w:tc>
        <w:tc>
          <w:tcPr>
            <w:tcW w:w="0" w:type="auto"/>
            <w:tcBorders>
              <w:top w:val="nil"/>
              <w:left w:val="nil"/>
              <w:bottom w:val="nil"/>
              <w:right w:val="nil"/>
            </w:tcBorders>
            <w:tcMar>
              <w:top w:w="150" w:type="dxa"/>
              <w:left w:w="150" w:type="dxa"/>
              <w:bottom w:w="135" w:type="dxa"/>
              <w:right w:w="150" w:type="dxa"/>
            </w:tcMar>
            <w:hideMark/>
          </w:tcPr>
          <w:p w14:paraId="7207E773" w14:textId="77777777" w:rsidR="00B51D2B" w:rsidRDefault="00B51D2B">
            <w:pPr>
              <w:rPr>
                <w:color w:val="000000"/>
              </w:rPr>
            </w:pPr>
            <w:r>
              <w:rPr>
                <w:color w:val="000000"/>
              </w:rPr>
              <w:t>0</w:t>
            </w:r>
          </w:p>
        </w:tc>
        <w:tc>
          <w:tcPr>
            <w:tcW w:w="0" w:type="auto"/>
            <w:tcBorders>
              <w:top w:val="nil"/>
              <w:left w:val="nil"/>
              <w:bottom w:val="nil"/>
              <w:right w:val="nil"/>
            </w:tcBorders>
            <w:tcMar>
              <w:top w:w="150" w:type="dxa"/>
              <w:left w:w="150" w:type="dxa"/>
              <w:bottom w:w="135" w:type="dxa"/>
              <w:right w:w="225" w:type="dxa"/>
            </w:tcMar>
            <w:hideMark/>
          </w:tcPr>
          <w:p w14:paraId="34472BC7" w14:textId="77777777" w:rsidR="00B51D2B" w:rsidRDefault="00B51D2B">
            <w:pPr>
              <w:rPr>
                <w:color w:val="000000"/>
              </w:rPr>
            </w:pPr>
            <w:r>
              <w:rPr>
                <w:color w:val="000000"/>
              </w:rPr>
              <w:t>1,700,000</w:t>
            </w:r>
          </w:p>
        </w:tc>
      </w:tr>
      <w:tr w:rsidR="00B51D2B" w14:paraId="17C0AC5E" w14:textId="77777777" w:rsidTr="00B51D2B">
        <w:tc>
          <w:tcPr>
            <w:tcW w:w="0" w:type="auto"/>
            <w:tcBorders>
              <w:top w:val="nil"/>
              <w:left w:val="nil"/>
              <w:bottom w:val="nil"/>
              <w:right w:val="nil"/>
            </w:tcBorders>
            <w:tcMar>
              <w:top w:w="150" w:type="dxa"/>
              <w:left w:w="225" w:type="dxa"/>
              <w:bottom w:w="135" w:type="dxa"/>
              <w:right w:w="150" w:type="dxa"/>
            </w:tcMar>
            <w:hideMark/>
          </w:tcPr>
          <w:p w14:paraId="775BCFD1" w14:textId="77777777" w:rsidR="00B51D2B" w:rsidRDefault="00B51D2B">
            <w:pPr>
              <w:rPr>
                <w:color w:val="000000"/>
              </w:rPr>
            </w:pPr>
            <w:r>
              <w:rPr>
                <w:color w:val="000000"/>
              </w:rPr>
              <w:t>P4</w:t>
            </w:r>
          </w:p>
        </w:tc>
        <w:tc>
          <w:tcPr>
            <w:tcW w:w="0" w:type="auto"/>
            <w:tcBorders>
              <w:top w:val="nil"/>
              <w:left w:val="nil"/>
              <w:bottom w:val="nil"/>
              <w:right w:val="nil"/>
            </w:tcBorders>
            <w:tcMar>
              <w:top w:w="150" w:type="dxa"/>
              <w:left w:w="150" w:type="dxa"/>
              <w:bottom w:w="135" w:type="dxa"/>
              <w:right w:w="150" w:type="dxa"/>
            </w:tcMar>
            <w:hideMark/>
          </w:tcPr>
          <w:p w14:paraId="18408D5F" w14:textId="77777777" w:rsidR="00B51D2B" w:rsidRDefault="00B51D2B">
            <w:pPr>
              <w:rPr>
                <w:color w:val="000000"/>
              </w:rPr>
            </w:pPr>
            <w:r>
              <w:rPr>
                <w:color w:val="000000"/>
              </w:rPr>
              <w:t>375,000</w:t>
            </w:r>
          </w:p>
        </w:tc>
        <w:tc>
          <w:tcPr>
            <w:tcW w:w="0" w:type="auto"/>
            <w:tcBorders>
              <w:top w:val="nil"/>
              <w:left w:val="nil"/>
              <w:bottom w:val="nil"/>
              <w:right w:val="nil"/>
            </w:tcBorders>
            <w:tcMar>
              <w:top w:w="150" w:type="dxa"/>
              <w:left w:w="150" w:type="dxa"/>
              <w:bottom w:w="135" w:type="dxa"/>
              <w:right w:w="150" w:type="dxa"/>
            </w:tcMar>
            <w:hideMark/>
          </w:tcPr>
          <w:p w14:paraId="7F7C4681" w14:textId="77777777" w:rsidR="00B51D2B" w:rsidRDefault="00B51D2B">
            <w:pPr>
              <w:rPr>
                <w:color w:val="000000"/>
              </w:rPr>
            </w:pPr>
            <w:r>
              <w:rPr>
                <w:color w:val="000000"/>
              </w:rPr>
              <w:t>450,000</w:t>
            </w:r>
          </w:p>
        </w:tc>
        <w:tc>
          <w:tcPr>
            <w:tcW w:w="0" w:type="auto"/>
            <w:tcBorders>
              <w:top w:val="nil"/>
              <w:left w:val="nil"/>
              <w:bottom w:val="nil"/>
              <w:right w:val="nil"/>
            </w:tcBorders>
            <w:tcMar>
              <w:top w:w="150" w:type="dxa"/>
              <w:left w:w="150" w:type="dxa"/>
              <w:bottom w:w="135" w:type="dxa"/>
              <w:right w:w="150" w:type="dxa"/>
            </w:tcMar>
            <w:hideMark/>
          </w:tcPr>
          <w:p w14:paraId="5DA9D0A0" w14:textId="77777777" w:rsidR="00B51D2B" w:rsidRDefault="00B51D2B">
            <w:pPr>
              <w:rPr>
                <w:color w:val="000000"/>
              </w:rPr>
            </w:pPr>
            <w:r>
              <w:rPr>
                <w:color w:val="000000"/>
              </w:rPr>
              <w:t>550,000</w:t>
            </w:r>
          </w:p>
        </w:tc>
        <w:tc>
          <w:tcPr>
            <w:tcW w:w="0" w:type="auto"/>
            <w:tcBorders>
              <w:top w:val="nil"/>
              <w:left w:val="nil"/>
              <w:bottom w:val="nil"/>
              <w:right w:val="nil"/>
            </w:tcBorders>
            <w:tcMar>
              <w:top w:w="150" w:type="dxa"/>
              <w:left w:w="150" w:type="dxa"/>
              <w:bottom w:w="135" w:type="dxa"/>
              <w:right w:w="150" w:type="dxa"/>
            </w:tcMar>
            <w:hideMark/>
          </w:tcPr>
          <w:p w14:paraId="56B57D70" w14:textId="77777777" w:rsidR="00B51D2B" w:rsidRDefault="00B51D2B">
            <w:pPr>
              <w:rPr>
                <w:color w:val="000000"/>
              </w:rPr>
            </w:pPr>
            <w:r>
              <w:rPr>
                <w:color w:val="000000"/>
              </w:rPr>
              <w:t>625,000</w:t>
            </w:r>
          </w:p>
        </w:tc>
        <w:tc>
          <w:tcPr>
            <w:tcW w:w="0" w:type="auto"/>
            <w:tcBorders>
              <w:top w:val="nil"/>
              <w:left w:val="nil"/>
              <w:bottom w:val="nil"/>
              <w:right w:val="nil"/>
            </w:tcBorders>
            <w:tcMar>
              <w:top w:w="150" w:type="dxa"/>
              <w:left w:w="150" w:type="dxa"/>
              <w:bottom w:w="135" w:type="dxa"/>
              <w:right w:w="150" w:type="dxa"/>
            </w:tcMar>
            <w:hideMark/>
          </w:tcPr>
          <w:p w14:paraId="0B9A206F" w14:textId="77777777" w:rsidR="00B51D2B" w:rsidRDefault="00B51D2B">
            <w:pPr>
              <w:rPr>
                <w:color w:val="000000"/>
              </w:rPr>
            </w:pPr>
            <w:r>
              <w:rPr>
                <w:color w:val="000000"/>
              </w:rPr>
              <w:t>650,000</w:t>
            </w:r>
          </w:p>
        </w:tc>
        <w:tc>
          <w:tcPr>
            <w:tcW w:w="0" w:type="auto"/>
            <w:tcBorders>
              <w:top w:val="nil"/>
              <w:left w:val="nil"/>
              <w:bottom w:val="nil"/>
              <w:right w:val="nil"/>
            </w:tcBorders>
            <w:tcMar>
              <w:top w:w="150" w:type="dxa"/>
              <w:left w:w="150" w:type="dxa"/>
              <w:bottom w:w="135" w:type="dxa"/>
              <w:right w:w="225" w:type="dxa"/>
            </w:tcMar>
            <w:hideMark/>
          </w:tcPr>
          <w:p w14:paraId="32DB07A2" w14:textId="77777777" w:rsidR="00B51D2B" w:rsidRDefault="00B51D2B">
            <w:pPr>
              <w:rPr>
                <w:color w:val="000000"/>
              </w:rPr>
            </w:pPr>
            <w:r>
              <w:rPr>
                <w:color w:val="000000"/>
              </w:rPr>
              <w:t>1,775,000</w:t>
            </w:r>
          </w:p>
        </w:tc>
      </w:tr>
      <w:tr w:rsidR="00B51D2B" w14:paraId="69E12AEB" w14:textId="77777777" w:rsidTr="00B51D2B">
        <w:tc>
          <w:tcPr>
            <w:tcW w:w="0" w:type="auto"/>
            <w:tcBorders>
              <w:top w:val="nil"/>
              <w:left w:val="nil"/>
              <w:bottom w:val="nil"/>
              <w:right w:val="nil"/>
            </w:tcBorders>
            <w:tcMar>
              <w:top w:w="150" w:type="dxa"/>
              <w:left w:w="225" w:type="dxa"/>
              <w:bottom w:w="135" w:type="dxa"/>
              <w:right w:w="150" w:type="dxa"/>
            </w:tcMar>
            <w:hideMark/>
          </w:tcPr>
          <w:p w14:paraId="55A155CF" w14:textId="77777777" w:rsidR="00B51D2B" w:rsidRDefault="00B51D2B">
            <w:pPr>
              <w:rPr>
                <w:color w:val="000000"/>
              </w:rPr>
            </w:pPr>
            <w:r>
              <w:rPr>
                <w:color w:val="000000"/>
              </w:rPr>
              <w:t>P5</w:t>
            </w:r>
          </w:p>
        </w:tc>
        <w:tc>
          <w:tcPr>
            <w:tcW w:w="0" w:type="auto"/>
            <w:tcBorders>
              <w:top w:val="nil"/>
              <w:left w:val="nil"/>
              <w:bottom w:val="nil"/>
              <w:right w:val="nil"/>
            </w:tcBorders>
            <w:tcMar>
              <w:top w:w="150" w:type="dxa"/>
              <w:left w:w="150" w:type="dxa"/>
              <w:bottom w:w="135" w:type="dxa"/>
              <w:right w:w="150" w:type="dxa"/>
            </w:tcMar>
            <w:hideMark/>
          </w:tcPr>
          <w:p w14:paraId="2965C0DD" w14:textId="77777777" w:rsidR="00B51D2B" w:rsidRDefault="00B51D2B">
            <w:pPr>
              <w:rPr>
                <w:color w:val="000000"/>
              </w:rPr>
            </w:pPr>
            <w:r>
              <w:rPr>
                <w:color w:val="000000"/>
              </w:rPr>
              <w:t>650,000</w:t>
            </w:r>
          </w:p>
        </w:tc>
        <w:tc>
          <w:tcPr>
            <w:tcW w:w="0" w:type="auto"/>
            <w:tcBorders>
              <w:top w:val="nil"/>
              <w:left w:val="nil"/>
              <w:bottom w:val="nil"/>
              <w:right w:val="nil"/>
            </w:tcBorders>
            <w:tcMar>
              <w:top w:w="150" w:type="dxa"/>
              <w:left w:w="150" w:type="dxa"/>
              <w:bottom w:w="135" w:type="dxa"/>
              <w:right w:w="150" w:type="dxa"/>
            </w:tcMar>
            <w:hideMark/>
          </w:tcPr>
          <w:p w14:paraId="3FA4AFE2" w14:textId="77777777" w:rsidR="00B51D2B" w:rsidRDefault="00B51D2B">
            <w:pPr>
              <w:rPr>
                <w:color w:val="000000"/>
              </w:rPr>
            </w:pPr>
            <w:r>
              <w:rPr>
                <w:color w:val="000000"/>
              </w:rPr>
              <w:t>750,000</w:t>
            </w:r>
          </w:p>
        </w:tc>
        <w:tc>
          <w:tcPr>
            <w:tcW w:w="0" w:type="auto"/>
            <w:tcBorders>
              <w:top w:val="nil"/>
              <w:left w:val="nil"/>
              <w:bottom w:val="nil"/>
              <w:right w:val="nil"/>
            </w:tcBorders>
            <w:tcMar>
              <w:top w:w="150" w:type="dxa"/>
              <w:left w:w="150" w:type="dxa"/>
              <w:bottom w:w="135" w:type="dxa"/>
              <w:right w:w="150" w:type="dxa"/>
            </w:tcMar>
            <w:hideMark/>
          </w:tcPr>
          <w:p w14:paraId="2BFC4386" w14:textId="77777777" w:rsidR="00B51D2B" w:rsidRDefault="00B51D2B">
            <w:pPr>
              <w:rPr>
                <w:color w:val="000000"/>
              </w:rPr>
            </w:pPr>
            <w:r>
              <w:rPr>
                <w:color w:val="000000"/>
              </w:rPr>
              <w:t>875,000</w:t>
            </w:r>
          </w:p>
        </w:tc>
        <w:tc>
          <w:tcPr>
            <w:tcW w:w="0" w:type="auto"/>
            <w:tcBorders>
              <w:top w:val="nil"/>
              <w:left w:val="nil"/>
              <w:bottom w:val="nil"/>
              <w:right w:val="nil"/>
            </w:tcBorders>
            <w:tcMar>
              <w:top w:w="150" w:type="dxa"/>
              <w:left w:w="150" w:type="dxa"/>
              <w:bottom w:w="135" w:type="dxa"/>
              <w:right w:w="150" w:type="dxa"/>
            </w:tcMar>
            <w:hideMark/>
          </w:tcPr>
          <w:p w14:paraId="07B73E08" w14:textId="77777777" w:rsidR="00B51D2B" w:rsidRDefault="00B51D2B">
            <w:pPr>
              <w:rPr>
                <w:color w:val="000000"/>
              </w:rPr>
            </w:pPr>
            <w:r>
              <w:rPr>
                <w:color w:val="000000"/>
              </w:rPr>
              <w:t> 0</w:t>
            </w:r>
          </w:p>
        </w:tc>
        <w:tc>
          <w:tcPr>
            <w:tcW w:w="0" w:type="auto"/>
            <w:tcBorders>
              <w:top w:val="nil"/>
              <w:left w:val="nil"/>
              <w:bottom w:val="nil"/>
              <w:right w:val="nil"/>
            </w:tcBorders>
            <w:tcMar>
              <w:top w:w="150" w:type="dxa"/>
              <w:left w:w="150" w:type="dxa"/>
              <w:bottom w:w="135" w:type="dxa"/>
              <w:right w:w="150" w:type="dxa"/>
            </w:tcMar>
            <w:hideMark/>
          </w:tcPr>
          <w:p w14:paraId="1BD35DEC" w14:textId="77777777" w:rsidR="00B51D2B" w:rsidRDefault="00B51D2B">
            <w:pPr>
              <w:rPr>
                <w:color w:val="000000"/>
              </w:rPr>
            </w:pPr>
            <w:r>
              <w:rPr>
                <w:color w:val="000000"/>
              </w:rPr>
              <w:t>0 </w:t>
            </w:r>
          </w:p>
        </w:tc>
        <w:tc>
          <w:tcPr>
            <w:tcW w:w="0" w:type="auto"/>
            <w:tcBorders>
              <w:top w:val="nil"/>
              <w:left w:val="nil"/>
              <w:bottom w:val="nil"/>
              <w:right w:val="nil"/>
            </w:tcBorders>
            <w:tcMar>
              <w:top w:w="150" w:type="dxa"/>
              <w:left w:w="150" w:type="dxa"/>
              <w:bottom w:w="135" w:type="dxa"/>
              <w:right w:w="225" w:type="dxa"/>
            </w:tcMar>
            <w:hideMark/>
          </w:tcPr>
          <w:p w14:paraId="16C6F63C" w14:textId="77777777" w:rsidR="00B51D2B" w:rsidRDefault="00B51D2B">
            <w:pPr>
              <w:rPr>
                <w:color w:val="000000"/>
              </w:rPr>
            </w:pPr>
            <w:r>
              <w:rPr>
                <w:color w:val="000000"/>
              </w:rPr>
              <w:t>1,750,000</w:t>
            </w:r>
          </w:p>
        </w:tc>
      </w:tr>
      <w:tr w:rsidR="00B51D2B" w14:paraId="618230A8" w14:textId="77777777" w:rsidTr="00B51D2B">
        <w:tc>
          <w:tcPr>
            <w:tcW w:w="0" w:type="auto"/>
            <w:tcBorders>
              <w:top w:val="nil"/>
              <w:left w:val="nil"/>
              <w:bottom w:val="nil"/>
              <w:right w:val="nil"/>
            </w:tcBorders>
            <w:tcMar>
              <w:top w:w="150" w:type="dxa"/>
              <w:left w:w="225" w:type="dxa"/>
              <w:bottom w:w="135" w:type="dxa"/>
              <w:right w:w="150" w:type="dxa"/>
            </w:tcMar>
            <w:hideMark/>
          </w:tcPr>
          <w:p w14:paraId="7E387260" w14:textId="77777777" w:rsidR="00B51D2B" w:rsidRDefault="00B51D2B">
            <w:pPr>
              <w:rPr>
                <w:color w:val="000000"/>
              </w:rPr>
            </w:pPr>
            <w:r>
              <w:rPr>
                <w:color w:val="000000"/>
              </w:rPr>
              <w:t>P6</w:t>
            </w:r>
          </w:p>
        </w:tc>
        <w:tc>
          <w:tcPr>
            <w:tcW w:w="0" w:type="auto"/>
            <w:tcBorders>
              <w:top w:val="nil"/>
              <w:left w:val="nil"/>
              <w:bottom w:val="nil"/>
              <w:right w:val="nil"/>
            </w:tcBorders>
            <w:tcMar>
              <w:top w:w="150" w:type="dxa"/>
              <w:left w:w="150" w:type="dxa"/>
              <w:bottom w:w="135" w:type="dxa"/>
              <w:right w:w="150" w:type="dxa"/>
            </w:tcMar>
            <w:hideMark/>
          </w:tcPr>
          <w:p w14:paraId="5688DA7D" w14:textId="77777777" w:rsidR="00B51D2B" w:rsidRDefault="00B51D2B">
            <w:pPr>
              <w:rPr>
                <w:color w:val="000000"/>
              </w:rPr>
            </w:pPr>
            <w:r>
              <w:rPr>
                <w:color w:val="000000"/>
              </w:rPr>
              <w:t>452,000</w:t>
            </w:r>
          </w:p>
        </w:tc>
        <w:tc>
          <w:tcPr>
            <w:tcW w:w="0" w:type="auto"/>
            <w:tcBorders>
              <w:top w:val="nil"/>
              <w:left w:val="nil"/>
              <w:bottom w:val="nil"/>
              <w:right w:val="nil"/>
            </w:tcBorders>
            <w:tcMar>
              <w:top w:w="150" w:type="dxa"/>
              <w:left w:w="150" w:type="dxa"/>
              <w:bottom w:w="135" w:type="dxa"/>
              <w:right w:w="150" w:type="dxa"/>
            </w:tcMar>
            <w:hideMark/>
          </w:tcPr>
          <w:p w14:paraId="5B32D2F0" w14:textId="77777777" w:rsidR="00B51D2B" w:rsidRDefault="00B51D2B">
            <w:pPr>
              <w:rPr>
                <w:color w:val="000000"/>
              </w:rPr>
            </w:pPr>
            <w:r>
              <w:rPr>
                <w:color w:val="000000"/>
              </w:rPr>
              <w:t>452,000</w:t>
            </w:r>
          </w:p>
        </w:tc>
        <w:tc>
          <w:tcPr>
            <w:tcW w:w="0" w:type="auto"/>
            <w:tcBorders>
              <w:top w:val="nil"/>
              <w:left w:val="nil"/>
              <w:bottom w:val="nil"/>
              <w:right w:val="nil"/>
            </w:tcBorders>
            <w:tcMar>
              <w:top w:w="150" w:type="dxa"/>
              <w:left w:w="150" w:type="dxa"/>
              <w:bottom w:w="135" w:type="dxa"/>
              <w:right w:w="150" w:type="dxa"/>
            </w:tcMar>
            <w:hideMark/>
          </w:tcPr>
          <w:p w14:paraId="47D31FBF" w14:textId="77777777" w:rsidR="00B51D2B" w:rsidRDefault="00B51D2B">
            <w:pPr>
              <w:rPr>
                <w:color w:val="000000"/>
              </w:rPr>
            </w:pPr>
            <w:r>
              <w:rPr>
                <w:color w:val="000000"/>
              </w:rPr>
              <w:t>452,000</w:t>
            </w:r>
          </w:p>
        </w:tc>
        <w:tc>
          <w:tcPr>
            <w:tcW w:w="0" w:type="auto"/>
            <w:tcBorders>
              <w:top w:val="nil"/>
              <w:left w:val="nil"/>
              <w:bottom w:val="nil"/>
              <w:right w:val="nil"/>
            </w:tcBorders>
            <w:tcMar>
              <w:top w:w="150" w:type="dxa"/>
              <w:left w:w="150" w:type="dxa"/>
              <w:bottom w:w="135" w:type="dxa"/>
              <w:right w:w="150" w:type="dxa"/>
            </w:tcMar>
            <w:hideMark/>
          </w:tcPr>
          <w:p w14:paraId="0975C512" w14:textId="77777777" w:rsidR="00B51D2B" w:rsidRDefault="00B51D2B">
            <w:pPr>
              <w:rPr>
                <w:color w:val="000000"/>
              </w:rPr>
            </w:pPr>
            <w:r>
              <w:rPr>
                <w:color w:val="000000"/>
              </w:rPr>
              <w:t>452,000</w:t>
            </w:r>
          </w:p>
        </w:tc>
        <w:tc>
          <w:tcPr>
            <w:tcW w:w="0" w:type="auto"/>
            <w:tcBorders>
              <w:top w:val="nil"/>
              <w:left w:val="nil"/>
              <w:bottom w:val="nil"/>
              <w:right w:val="nil"/>
            </w:tcBorders>
            <w:tcMar>
              <w:top w:w="150" w:type="dxa"/>
              <w:left w:w="150" w:type="dxa"/>
              <w:bottom w:w="135" w:type="dxa"/>
              <w:right w:w="150" w:type="dxa"/>
            </w:tcMar>
            <w:hideMark/>
          </w:tcPr>
          <w:p w14:paraId="0615FF7C" w14:textId="77777777" w:rsidR="00B51D2B" w:rsidRDefault="00B51D2B">
            <w:pPr>
              <w:rPr>
                <w:color w:val="000000"/>
              </w:rPr>
            </w:pPr>
            <w:r>
              <w:rPr>
                <w:color w:val="000000"/>
              </w:rPr>
              <w:t>452,000</w:t>
            </w:r>
          </w:p>
        </w:tc>
        <w:tc>
          <w:tcPr>
            <w:tcW w:w="0" w:type="auto"/>
            <w:tcBorders>
              <w:top w:val="nil"/>
              <w:left w:val="nil"/>
              <w:bottom w:val="nil"/>
              <w:right w:val="nil"/>
            </w:tcBorders>
            <w:tcMar>
              <w:top w:w="150" w:type="dxa"/>
              <w:left w:w="150" w:type="dxa"/>
              <w:bottom w:w="135" w:type="dxa"/>
              <w:right w:w="225" w:type="dxa"/>
            </w:tcMar>
            <w:hideMark/>
          </w:tcPr>
          <w:p w14:paraId="14F6F784" w14:textId="77777777" w:rsidR="00B51D2B" w:rsidRDefault="00B51D2B">
            <w:pPr>
              <w:rPr>
                <w:color w:val="000000"/>
              </w:rPr>
            </w:pPr>
            <w:r>
              <w:rPr>
                <w:color w:val="000000"/>
              </w:rPr>
              <w:t>1,600,000</w:t>
            </w:r>
          </w:p>
        </w:tc>
      </w:tr>
    </w:tbl>
    <w:p w14:paraId="5A919597"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Project P3 has a residual value in year 5 of £220,000.</w:t>
      </w:r>
    </w:p>
    <w:p w14:paraId="1E24A5A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Projects P1 and P5 are mutually exclusive. Capital budget restrictions are in place for the manufacturing plant, and the maximum access to funding is £6,300,000. None of the projects can be postponed to a future period. The projects are perceived as having a similar risk profile, and a cost of capital of 11.5% is to be applied.</w:t>
      </w:r>
    </w:p>
    <w:p w14:paraId="7EF41C22" w14:textId="77777777" w:rsidR="00B51D2B" w:rsidRDefault="00B51D2B" w:rsidP="00B51D2B">
      <w:pPr>
        <w:rPr>
          <w:rFonts w:ascii="Times New Roman" w:hAnsi="Times New Roman" w:cs="Times New Roman"/>
        </w:rPr>
      </w:pPr>
    </w:p>
    <w:p w14:paraId="7A7A9BB6" w14:textId="75E83916" w:rsidR="00B51D2B" w:rsidRDefault="00B51D2B">
      <w:pPr>
        <w:rPr>
          <w:rFonts w:ascii="Times New Roman" w:hAnsi="Times New Roman" w:cs="Times New Roman"/>
        </w:rPr>
      </w:pPr>
      <w:r>
        <w:rPr>
          <w:rFonts w:ascii="Times New Roman" w:hAnsi="Times New Roman" w:cs="Times New Roman"/>
        </w:rPr>
        <w:br w:type="page"/>
      </w:r>
    </w:p>
    <w:p w14:paraId="6E38D5DD" w14:textId="77777777" w:rsidR="00B51D2B" w:rsidRDefault="00B51D2B" w:rsidP="00B51D2B">
      <w:pPr>
        <w:pStyle w:val="Heading1"/>
        <w:spacing w:before="0" w:beforeAutospacing="0" w:after="150" w:afterAutospacing="0"/>
        <w:rPr>
          <w:rFonts w:ascii="Arial" w:hAnsi="Arial" w:cs="Arial"/>
          <w:color w:val="002158"/>
          <w:sz w:val="36"/>
          <w:szCs w:val="36"/>
        </w:rPr>
      </w:pPr>
      <w:r>
        <w:rPr>
          <w:rFonts w:ascii="Arial" w:hAnsi="Arial" w:cs="Arial"/>
          <w:color w:val="002158"/>
          <w:sz w:val="36"/>
          <w:szCs w:val="36"/>
        </w:rPr>
        <w:lastRenderedPageBreak/>
        <w:t>Appendix 11: Fusion UK Transport Capital Proposals</w:t>
      </w:r>
    </w:p>
    <w:p w14:paraId="1571814A"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head of Fusion Transport UK has provided the Board with the following capital proposals (C1-C4):</w:t>
      </w:r>
    </w:p>
    <w:tbl>
      <w:tblPr>
        <w:tblW w:w="8520" w:type="dxa"/>
        <w:tblCellMar>
          <w:top w:w="15" w:type="dxa"/>
          <w:left w:w="15" w:type="dxa"/>
          <w:bottom w:w="15" w:type="dxa"/>
          <w:right w:w="15" w:type="dxa"/>
        </w:tblCellMar>
        <w:tblLook w:val="04A0" w:firstRow="1" w:lastRow="0" w:firstColumn="1" w:lastColumn="0" w:noHBand="0" w:noVBand="1"/>
      </w:tblPr>
      <w:tblGrid>
        <w:gridCol w:w="2964"/>
        <w:gridCol w:w="1359"/>
        <w:gridCol w:w="1359"/>
        <w:gridCol w:w="1359"/>
        <w:gridCol w:w="1479"/>
      </w:tblGrid>
      <w:tr w:rsidR="00B51D2B" w14:paraId="1A734FCD" w14:textId="77777777" w:rsidTr="00B51D2B">
        <w:tc>
          <w:tcPr>
            <w:tcW w:w="0" w:type="auto"/>
            <w:gridSpan w:val="4"/>
            <w:tcBorders>
              <w:top w:val="nil"/>
              <w:left w:val="nil"/>
              <w:bottom w:val="nil"/>
              <w:right w:val="nil"/>
            </w:tcBorders>
            <w:tcMar>
              <w:top w:w="150" w:type="dxa"/>
              <w:left w:w="225" w:type="dxa"/>
              <w:bottom w:w="135" w:type="dxa"/>
              <w:right w:w="150" w:type="dxa"/>
            </w:tcMar>
            <w:hideMark/>
          </w:tcPr>
          <w:p w14:paraId="3E79AD0E" w14:textId="77777777" w:rsidR="00B51D2B" w:rsidRDefault="00B51D2B">
            <w:pPr>
              <w:rPr>
                <w:rFonts w:ascii="Times New Roman" w:hAnsi="Times New Roman" w:cs="Times New Roman"/>
                <w:color w:val="000000"/>
              </w:rPr>
            </w:pPr>
            <w:r>
              <w:rPr>
                <w:color w:val="000000"/>
              </w:rPr>
              <w:t>Capital Investment Outlay</w:t>
            </w:r>
          </w:p>
        </w:tc>
        <w:tc>
          <w:tcPr>
            <w:tcW w:w="0" w:type="auto"/>
            <w:tcBorders>
              <w:top w:val="nil"/>
              <w:left w:val="nil"/>
              <w:bottom w:val="nil"/>
              <w:right w:val="nil"/>
            </w:tcBorders>
            <w:tcMar>
              <w:top w:w="150" w:type="dxa"/>
              <w:left w:w="150" w:type="dxa"/>
              <w:bottom w:w="135" w:type="dxa"/>
              <w:right w:w="225" w:type="dxa"/>
            </w:tcMar>
            <w:hideMark/>
          </w:tcPr>
          <w:p w14:paraId="5CF0BC43" w14:textId="77777777" w:rsidR="00B51D2B" w:rsidRDefault="00B51D2B">
            <w:pPr>
              <w:rPr>
                <w:color w:val="000000"/>
              </w:rPr>
            </w:pPr>
            <w:r>
              <w:rPr>
                <w:color w:val="000000"/>
              </w:rPr>
              <w:t> </w:t>
            </w:r>
          </w:p>
        </w:tc>
      </w:tr>
      <w:tr w:rsidR="00B51D2B" w14:paraId="6C52DDEB" w14:textId="77777777" w:rsidTr="00B51D2B">
        <w:tc>
          <w:tcPr>
            <w:tcW w:w="0" w:type="auto"/>
            <w:tcBorders>
              <w:top w:val="nil"/>
              <w:left w:val="nil"/>
              <w:bottom w:val="nil"/>
              <w:right w:val="nil"/>
            </w:tcBorders>
            <w:tcMar>
              <w:top w:w="150" w:type="dxa"/>
              <w:left w:w="225" w:type="dxa"/>
              <w:bottom w:w="135" w:type="dxa"/>
              <w:right w:w="150" w:type="dxa"/>
            </w:tcMar>
            <w:hideMark/>
          </w:tcPr>
          <w:p w14:paraId="54C92FCE" w14:textId="77777777" w:rsidR="00B51D2B" w:rsidRDefault="00B51D2B">
            <w:pPr>
              <w:rPr>
                <w:color w:val="000000"/>
              </w:rPr>
            </w:pPr>
            <w:r>
              <w:rPr>
                <w:color w:val="000000"/>
              </w:rPr>
              <w:t>Year of Capital</w:t>
            </w:r>
            <w:r>
              <w:rPr>
                <w:rStyle w:val="apple-converted-space"/>
                <w:color w:val="000000"/>
              </w:rPr>
              <w:t> </w:t>
            </w:r>
          </w:p>
        </w:tc>
        <w:tc>
          <w:tcPr>
            <w:tcW w:w="0" w:type="auto"/>
            <w:tcBorders>
              <w:top w:val="nil"/>
              <w:left w:val="nil"/>
              <w:bottom w:val="nil"/>
              <w:right w:val="nil"/>
            </w:tcBorders>
            <w:tcMar>
              <w:top w:w="150" w:type="dxa"/>
              <w:left w:w="150" w:type="dxa"/>
              <w:bottom w:w="135" w:type="dxa"/>
              <w:right w:w="150" w:type="dxa"/>
            </w:tcMar>
            <w:hideMark/>
          </w:tcPr>
          <w:p w14:paraId="453BE4DA" w14:textId="77777777" w:rsidR="00B51D2B" w:rsidRDefault="00B51D2B">
            <w:pPr>
              <w:rPr>
                <w:color w:val="000000"/>
              </w:rPr>
            </w:pPr>
            <w:r>
              <w:rPr>
                <w:color w:val="000000"/>
              </w:rPr>
              <w:t>C1</w:t>
            </w:r>
          </w:p>
        </w:tc>
        <w:tc>
          <w:tcPr>
            <w:tcW w:w="0" w:type="auto"/>
            <w:tcBorders>
              <w:top w:val="nil"/>
              <w:left w:val="nil"/>
              <w:bottom w:val="nil"/>
              <w:right w:val="nil"/>
            </w:tcBorders>
            <w:tcMar>
              <w:top w:w="150" w:type="dxa"/>
              <w:left w:w="150" w:type="dxa"/>
              <w:bottom w:w="135" w:type="dxa"/>
              <w:right w:w="150" w:type="dxa"/>
            </w:tcMar>
            <w:hideMark/>
          </w:tcPr>
          <w:p w14:paraId="25C75211" w14:textId="77777777" w:rsidR="00B51D2B" w:rsidRDefault="00B51D2B">
            <w:pPr>
              <w:rPr>
                <w:color w:val="000000"/>
              </w:rPr>
            </w:pPr>
            <w:r>
              <w:rPr>
                <w:color w:val="000000"/>
              </w:rPr>
              <w:t>C2</w:t>
            </w:r>
          </w:p>
        </w:tc>
        <w:tc>
          <w:tcPr>
            <w:tcW w:w="0" w:type="auto"/>
            <w:tcBorders>
              <w:top w:val="nil"/>
              <w:left w:val="nil"/>
              <w:bottom w:val="nil"/>
              <w:right w:val="nil"/>
            </w:tcBorders>
            <w:tcMar>
              <w:top w:w="150" w:type="dxa"/>
              <w:left w:w="150" w:type="dxa"/>
              <w:bottom w:w="135" w:type="dxa"/>
              <w:right w:w="150" w:type="dxa"/>
            </w:tcMar>
            <w:hideMark/>
          </w:tcPr>
          <w:p w14:paraId="6AA42BF7" w14:textId="77777777" w:rsidR="00B51D2B" w:rsidRDefault="00B51D2B">
            <w:pPr>
              <w:rPr>
                <w:color w:val="000000"/>
              </w:rPr>
            </w:pPr>
            <w:r>
              <w:rPr>
                <w:color w:val="000000"/>
              </w:rPr>
              <w:t>C3</w:t>
            </w:r>
          </w:p>
        </w:tc>
        <w:tc>
          <w:tcPr>
            <w:tcW w:w="0" w:type="auto"/>
            <w:tcBorders>
              <w:top w:val="nil"/>
              <w:left w:val="nil"/>
              <w:bottom w:val="nil"/>
              <w:right w:val="nil"/>
            </w:tcBorders>
            <w:tcMar>
              <w:top w:w="150" w:type="dxa"/>
              <w:left w:w="150" w:type="dxa"/>
              <w:bottom w:w="135" w:type="dxa"/>
              <w:right w:w="225" w:type="dxa"/>
            </w:tcMar>
            <w:hideMark/>
          </w:tcPr>
          <w:p w14:paraId="3737A21C" w14:textId="77777777" w:rsidR="00B51D2B" w:rsidRDefault="00B51D2B">
            <w:pPr>
              <w:rPr>
                <w:color w:val="000000"/>
              </w:rPr>
            </w:pPr>
            <w:r>
              <w:rPr>
                <w:color w:val="000000"/>
              </w:rPr>
              <w:t>C4</w:t>
            </w:r>
          </w:p>
        </w:tc>
      </w:tr>
      <w:tr w:rsidR="00B51D2B" w14:paraId="1EDD8C99" w14:textId="77777777" w:rsidTr="00B51D2B">
        <w:tc>
          <w:tcPr>
            <w:tcW w:w="0" w:type="auto"/>
            <w:tcBorders>
              <w:top w:val="nil"/>
              <w:left w:val="nil"/>
              <w:bottom w:val="nil"/>
              <w:right w:val="nil"/>
            </w:tcBorders>
            <w:tcMar>
              <w:top w:w="150" w:type="dxa"/>
              <w:left w:w="225" w:type="dxa"/>
              <w:bottom w:w="135" w:type="dxa"/>
              <w:right w:w="150" w:type="dxa"/>
            </w:tcMar>
            <w:hideMark/>
          </w:tcPr>
          <w:p w14:paraId="421860BB" w14:textId="77777777" w:rsidR="00B51D2B" w:rsidRDefault="00B51D2B">
            <w:pPr>
              <w:rPr>
                <w:color w:val="000000"/>
              </w:rPr>
            </w:pPr>
            <w:r>
              <w:rPr>
                <w:color w:val="000000"/>
              </w:rPr>
              <w:t>Outlay</w:t>
            </w:r>
          </w:p>
        </w:tc>
        <w:tc>
          <w:tcPr>
            <w:tcW w:w="0" w:type="auto"/>
            <w:tcBorders>
              <w:top w:val="nil"/>
              <w:left w:val="nil"/>
              <w:bottom w:val="nil"/>
              <w:right w:val="nil"/>
            </w:tcBorders>
            <w:tcMar>
              <w:top w:w="150" w:type="dxa"/>
              <w:left w:w="150" w:type="dxa"/>
              <w:bottom w:w="135" w:type="dxa"/>
              <w:right w:w="150" w:type="dxa"/>
            </w:tcMar>
            <w:hideMark/>
          </w:tcPr>
          <w:p w14:paraId="3C43B030" w14:textId="77777777" w:rsidR="00B51D2B" w:rsidRDefault="00B51D2B">
            <w:pPr>
              <w:rPr>
                <w:color w:val="000000"/>
              </w:rPr>
            </w:pPr>
            <w:r>
              <w:rPr>
                <w:color w:val="000000"/>
              </w:rPr>
              <w:t>£’000</w:t>
            </w:r>
          </w:p>
        </w:tc>
        <w:tc>
          <w:tcPr>
            <w:tcW w:w="0" w:type="auto"/>
            <w:tcBorders>
              <w:top w:val="nil"/>
              <w:left w:val="nil"/>
              <w:bottom w:val="nil"/>
              <w:right w:val="nil"/>
            </w:tcBorders>
            <w:tcMar>
              <w:top w:w="150" w:type="dxa"/>
              <w:left w:w="150" w:type="dxa"/>
              <w:bottom w:w="135" w:type="dxa"/>
              <w:right w:w="150" w:type="dxa"/>
            </w:tcMar>
            <w:hideMark/>
          </w:tcPr>
          <w:p w14:paraId="0BCAFB81" w14:textId="77777777" w:rsidR="00B51D2B" w:rsidRDefault="00B51D2B">
            <w:pPr>
              <w:rPr>
                <w:color w:val="000000"/>
              </w:rPr>
            </w:pPr>
            <w:r>
              <w:rPr>
                <w:color w:val="000000"/>
              </w:rPr>
              <w:t>£’000</w:t>
            </w:r>
          </w:p>
        </w:tc>
        <w:tc>
          <w:tcPr>
            <w:tcW w:w="0" w:type="auto"/>
            <w:tcBorders>
              <w:top w:val="nil"/>
              <w:left w:val="nil"/>
              <w:bottom w:val="nil"/>
              <w:right w:val="nil"/>
            </w:tcBorders>
            <w:tcMar>
              <w:top w:w="150" w:type="dxa"/>
              <w:left w:w="150" w:type="dxa"/>
              <w:bottom w:w="135" w:type="dxa"/>
              <w:right w:w="150" w:type="dxa"/>
            </w:tcMar>
            <w:hideMark/>
          </w:tcPr>
          <w:p w14:paraId="051F4415" w14:textId="77777777" w:rsidR="00B51D2B" w:rsidRDefault="00B51D2B">
            <w:pPr>
              <w:rPr>
                <w:color w:val="000000"/>
              </w:rPr>
            </w:pPr>
            <w:r>
              <w:rPr>
                <w:color w:val="000000"/>
              </w:rPr>
              <w:t>£’000</w:t>
            </w:r>
          </w:p>
        </w:tc>
        <w:tc>
          <w:tcPr>
            <w:tcW w:w="0" w:type="auto"/>
            <w:tcBorders>
              <w:top w:val="nil"/>
              <w:left w:val="nil"/>
              <w:bottom w:val="nil"/>
              <w:right w:val="nil"/>
            </w:tcBorders>
            <w:tcMar>
              <w:top w:w="150" w:type="dxa"/>
              <w:left w:w="150" w:type="dxa"/>
              <w:bottom w:w="135" w:type="dxa"/>
              <w:right w:w="225" w:type="dxa"/>
            </w:tcMar>
            <w:hideMark/>
          </w:tcPr>
          <w:p w14:paraId="1B83804B" w14:textId="77777777" w:rsidR="00B51D2B" w:rsidRDefault="00B51D2B">
            <w:pPr>
              <w:rPr>
                <w:color w:val="000000"/>
              </w:rPr>
            </w:pPr>
            <w:r>
              <w:rPr>
                <w:color w:val="000000"/>
              </w:rPr>
              <w:t>£’000</w:t>
            </w:r>
          </w:p>
        </w:tc>
      </w:tr>
      <w:tr w:rsidR="00B51D2B" w14:paraId="74C00C10" w14:textId="77777777" w:rsidTr="00B51D2B">
        <w:tc>
          <w:tcPr>
            <w:tcW w:w="0" w:type="auto"/>
            <w:tcBorders>
              <w:top w:val="nil"/>
              <w:left w:val="nil"/>
              <w:bottom w:val="nil"/>
              <w:right w:val="nil"/>
            </w:tcBorders>
            <w:tcMar>
              <w:top w:w="150" w:type="dxa"/>
              <w:left w:w="225" w:type="dxa"/>
              <w:bottom w:w="135" w:type="dxa"/>
              <w:right w:w="150" w:type="dxa"/>
            </w:tcMar>
            <w:hideMark/>
          </w:tcPr>
          <w:p w14:paraId="34678AC5" w14:textId="77777777" w:rsidR="00B51D2B" w:rsidRDefault="00B51D2B">
            <w:pPr>
              <w:rPr>
                <w:color w:val="000000"/>
              </w:rPr>
            </w:pPr>
            <w:r>
              <w:rPr>
                <w:color w:val="000000"/>
              </w:rPr>
              <w:t>0</w:t>
            </w:r>
          </w:p>
        </w:tc>
        <w:tc>
          <w:tcPr>
            <w:tcW w:w="0" w:type="auto"/>
            <w:tcBorders>
              <w:top w:val="nil"/>
              <w:left w:val="nil"/>
              <w:bottom w:val="nil"/>
              <w:right w:val="nil"/>
            </w:tcBorders>
            <w:tcMar>
              <w:top w:w="150" w:type="dxa"/>
              <w:left w:w="150" w:type="dxa"/>
              <w:bottom w:w="135" w:type="dxa"/>
              <w:right w:w="150" w:type="dxa"/>
            </w:tcMar>
            <w:hideMark/>
          </w:tcPr>
          <w:p w14:paraId="03438275" w14:textId="77777777" w:rsidR="00B51D2B" w:rsidRDefault="00B51D2B">
            <w:pPr>
              <w:rPr>
                <w:color w:val="000000"/>
              </w:rPr>
            </w:pPr>
            <w:r>
              <w:rPr>
                <w:color w:val="000000"/>
              </w:rPr>
              <w:t>400</w:t>
            </w:r>
          </w:p>
        </w:tc>
        <w:tc>
          <w:tcPr>
            <w:tcW w:w="0" w:type="auto"/>
            <w:tcBorders>
              <w:top w:val="nil"/>
              <w:left w:val="nil"/>
              <w:bottom w:val="nil"/>
              <w:right w:val="nil"/>
            </w:tcBorders>
            <w:tcMar>
              <w:top w:w="150" w:type="dxa"/>
              <w:left w:w="150" w:type="dxa"/>
              <w:bottom w:w="135" w:type="dxa"/>
              <w:right w:w="150" w:type="dxa"/>
            </w:tcMar>
            <w:hideMark/>
          </w:tcPr>
          <w:p w14:paraId="4FF082A4" w14:textId="77777777" w:rsidR="00B51D2B" w:rsidRDefault="00B51D2B">
            <w:pPr>
              <w:rPr>
                <w:color w:val="000000"/>
              </w:rPr>
            </w:pPr>
            <w:r>
              <w:rPr>
                <w:color w:val="000000"/>
              </w:rPr>
              <w:t>300</w:t>
            </w:r>
          </w:p>
        </w:tc>
        <w:tc>
          <w:tcPr>
            <w:tcW w:w="0" w:type="auto"/>
            <w:tcBorders>
              <w:top w:val="nil"/>
              <w:left w:val="nil"/>
              <w:bottom w:val="nil"/>
              <w:right w:val="nil"/>
            </w:tcBorders>
            <w:tcMar>
              <w:top w:w="150" w:type="dxa"/>
              <w:left w:w="150" w:type="dxa"/>
              <w:bottom w:w="135" w:type="dxa"/>
              <w:right w:w="150" w:type="dxa"/>
            </w:tcMar>
            <w:hideMark/>
          </w:tcPr>
          <w:p w14:paraId="58D0BA00" w14:textId="77777777" w:rsidR="00B51D2B" w:rsidRDefault="00B51D2B">
            <w:pPr>
              <w:rPr>
                <w:color w:val="000000"/>
              </w:rPr>
            </w:pPr>
            <w:r>
              <w:rPr>
                <w:color w:val="000000"/>
              </w:rPr>
              <w:t>200</w:t>
            </w:r>
          </w:p>
        </w:tc>
        <w:tc>
          <w:tcPr>
            <w:tcW w:w="0" w:type="auto"/>
            <w:tcBorders>
              <w:top w:val="nil"/>
              <w:left w:val="nil"/>
              <w:bottom w:val="nil"/>
              <w:right w:val="nil"/>
            </w:tcBorders>
            <w:tcMar>
              <w:top w:w="150" w:type="dxa"/>
              <w:left w:w="150" w:type="dxa"/>
              <w:bottom w:w="135" w:type="dxa"/>
              <w:right w:w="225" w:type="dxa"/>
            </w:tcMar>
            <w:hideMark/>
          </w:tcPr>
          <w:p w14:paraId="5A7C7C79" w14:textId="77777777" w:rsidR="00B51D2B" w:rsidRDefault="00B51D2B">
            <w:pPr>
              <w:rPr>
                <w:color w:val="000000"/>
              </w:rPr>
            </w:pPr>
            <w:r>
              <w:rPr>
                <w:color w:val="000000"/>
              </w:rPr>
              <w:t>0</w:t>
            </w:r>
          </w:p>
        </w:tc>
      </w:tr>
      <w:tr w:rsidR="00B51D2B" w14:paraId="24252B58" w14:textId="77777777" w:rsidTr="00B51D2B">
        <w:tc>
          <w:tcPr>
            <w:tcW w:w="0" w:type="auto"/>
            <w:tcBorders>
              <w:top w:val="nil"/>
              <w:left w:val="nil"/>
              <w:bottom w:val="nil"/>
              <w:right w:val="nil"/>
            </w:tcBorders>
            <w:tcMar>
              <w:top w:w="150" w:type="dxa"/>
              <w:left w:w="225" w:type="dxa"/>
              <w:bottom w:w="135" w:type="dxa"/>
              <w:right w:w="150" w:type="dxa"/>
            </w:tcMar>
            <w:hideMark/>
          </w:tcPr>
          <w:p w14:paraId="069BC76A" w14:textId="77777777" w:rsidR="00B51D2B" w:rsidRDefault="00B51D2B">
            <w:pPr>
              <w:rPr>
                <w:color w:val="000000"/>
              </w:rPr>
            </w:pPr>
            <w:r>
              <w:rPr>
                <w:color w:val="000000"/>
              </w:rPr>
              <w:t>1</w:t>
            </w:r>
          </w:p>
        </w:tc>
        <w:tc>
          <w:tcPr>
            <w:tcW w:w="0" w:type="auto"/>
            <w:tcBorders>
              <w:top w:val="nil"/>
              <w:left w:val="nil"/>
              <w:bottom w:val="nil"/>
              <w:right w:val="nil"/>
            </w:tcBorders>
            <w:tcMar>
              <w:top w:w="150" w:type="dxa"/>
              <w:left w:w="150" w:type="dxa"/>
              <w:bottom w:w="135" w:type="dxa"/>
              <w:right w:w="150" w:type="dxa"/>
            </w:tcMar>
            <w:hideMark/>
          </w:tcPr>
          <w:p w14:paraId="213DDBE4" w14:textId="77777777" w:rsidR="00B51D2B" w:rsidRDefault="00B51D2B">
            <w:pPr>
              <w:rPr>
                <w:color w:val="000000"/>
              </w:rPr>
            </w:pPr>
            <w:r>
              <w:rPr>
                <w:color w:val="000000"/>
              </w:rPr>
              <w:t>400</w:t>
            </w:r>
          </w:p>
        </w:tc>
        <w:tc>
          <w:tcPr>
            <w:tcW w:w="0" w:type="auto"/>
            <w:tcBorders>
              <w:top w:val="nil"/>
              <w:left w:val="nil"/>
              <w:bottom w:val="nil"/>
              <w:right w:val="nil"/>
            </w:tcBorders>
            <w:tcMar>
              <w:top w:w="150" w:type="dxa"/>
              <w:left w:w="150" w:type="dxa"/>
              <w:bottom w:w="135" w:type="dxa"/>
              <w:right w:w="150" w:type="dxa"/>
            </w:tcMar>
            <w:hideMark/>
          </w:tcPr>
          <w:p w14:paraId="5D297E03" w14:textId="77777777" w:rsidR="00B51D2B" w:rsidRDefault="00B51D2B">
            <w:pPr>
              <w:rPr>
                <w:color w:val="000000"/>
              </w:rPr>
            </w:pPr>
            <w:r>
              <w:rPr>
                <w:color w:val="000000"/>
              </w:rPr>
              <w:t>300</w:t>
            </w:r>
          </w:p>
        </w:tc>
        <w:tc>
          <w:tcPr>
            <w:tcW w:w="0" w:type="auto"/>
            <w:tcBorders>
              <w:top w:val="nil"/>
              <w:left w:val="nil"/>
              <w:bottom w:val="nil"/>
              <w:right w:val="nil"/>
            </w:tcBorders>
            <w:tcMar>
              <w:top w:w="150" w:type="dxa"/>
              <w:left w:w="150" w:type="dxa"/>
              <w:bottom w:w="135" w:type="dxa"/>
              <w:right w:w="150" w:type="dxa"/>
            </w:tcMar>
            <w:hideMark/>
          </w:tcPr>
          <w:p w14:paraId="1BD41E2C" w14:textId="77777777" w:rsidR="00B51D2B" w:rsidRDefault="00B51D2B">
            <w:pPr>
              <w:rPr>
                <w:color w:val="000000"/>
              </w:rPr>
            </w:pPr>
            <w:r>
              <w:rPr>
                <w:color w:val="000000"/>
              </w:rPr>
              <w:t>250</w:t>
            </w:r>
          </w:p>
        </w:tc>
        <w:tc>
          <w:tcPr>
            <w:tcW w:w="0" w:type="auto"/>
            <w:tcBorders>
              <w:top w:val="nil"/>
              <w:left w:val="nil"/>
              <w:bottom w:val="nil"/>
              <w:right w:val="nil"/>
            </w:tcBorders>
            <w:tcMar>
              <w:top w:w="150" w:type="dxa"/>
              <w:left w:w="150" w:type="dxa"/>
              <w:bottom w:w="135" w:type="dxa"/>
              <w:right w:w="225" w:type="dxa"/>
            </w:tcMar>
            <w:hideMark/>
          </w:tcPr>
          <w:p w14:paraId="339632BC" w14:textId="77777777" w:rsidR="00B51D2B" w:rsidRDefault="00B51D2B">
            <w:pPr>
              <w:rPr>
                <w:color w:val="000000"/>
              </w:rPr>
            </w:pPr>
            <w:r>
              <w:rPr>
                <w:color w:val="000000"/>
              </w:rPr>
              <w:t>450</w:t>
            </w:r>
          </w:p>
        </w:tc>
      </w:tr>
      <w:tr w:rsidR="00B51D2B" w14:paraId="0B9021C8" w14:textId="77777777" w:rsidTr="00B51D2B">
        <w:tc>
          <w:tcPr>
            <w:tcW w:w="0" w:type="auto"/>
            <w:tcBorders>
              <w:top w:val="nil"/>
              <w:left w:val="nil"/>
              <w:bottom w:val="nil"/>
              <w:right w:val="nil"/>
            </w:tcBorders>
            <w:tcMar>
              <w:top w:w="150" w:type="dxa"/>
              <w:left w:w="225" w:type="dxa"/>
              <w:bottom w:w="135" w:type="dxa"/>
              <w:right w:w="150" w:type="dxa"/>
            </w:tcMar>
            <w:hideMark/>
          </w:tcPr>
          <w:p w14:paraId="40FC88AA" w14:textId="77777777" w:rsidR="00B51D2B" w:rsidRDefault="00B51D2B">
            <w:pPr>
              <w:rPr>
                <w:color w:val="000000"/>
              </w:rPr>
            </w:pPr>
            <w:r>
              <w:rPr>
                <w:color w:val="000000"/>
              </w:rPr>
              <w:t>2</w:t>
            </w:r>
          </w:p>
        </w:tc>
        <w:tc>
          <w:tcPr>
            <w:tcW w:w="0" w:type="auto"/>
            <w:tcBorders>
              <w:top w:val="nil"/>
              <w:left w:val="nil"/>
              <w:bottom w:val="nil"/>
              <w:right w:val="nil"/>
            </w:tcBorders>
            <w:tcMar>
              <w:top w:w="150" w:type="dxa"/>
              <w:left w:w="150" w:type="dxa"/>
              <w:bottom w:w="135" w:type="dxa"/>
              <w:right w:w="150" w:type="dxa"/>
            </w:tcMar>
            <w:hideMark/>
          </w:tcPr>
          <w:p w14:paraId="3313B65A" w14:textId="77777777" w:rsidR="00B51D2B" w:rsidRDefault="00B51D2B">
            <w:pPr>
              <w:rPr>
                <w:color w:val="000000"/>
              </w:rPr>
            </w:pPr>
            <w:r>
              <w:rPr>
                <w:color w:val="000000"/>
              </w:rPr>
              <w:t>0</w:t>
            </w:r>
          </w:p>
        </w:tc>
        <w:tc>
          <w:tcPr>
            <w:tcW w:w="0" w:type="auto"/>
            <w:tcBorders>
              <w:top w:val="nil"/>
              <w:left w:val="nil"/>
              <w:bottom w:val="nil"/>
              <w:right w:val="nil"/>
            </w:tcBorders>
            <w:tcMar>
              <w:top w:w="150" w:type="dxa"/>
              <w:left w:w="150" w:type="dxa"/>
              <w:bottom w:w="135" w:type="dxa"/>
              <w:right w:w="150" w:type="dxa"/>
            </w:tcMar>
            <w:hideMark/>
          </w:tcPr>
          <w:p w14:paraId="1647774F" w14:textId="77777777" w:rsidR="00B51D2B" w:rsidRDefault="00B51D2B">
            <w:pPr>
              <w:rPr>
                <w:color w:val="000000"/>
              </w:rPr>
            </w:pPr>
            <w:r>
              <w:rPr>
                <w:color w:val="000000"/>
              </w:rPr>
              <w:t>200</w:t>
            </w:r>
          </w:p>
        </w:tc>
        <w:tc>
          <w:tcPr>
            <w:tcW w:w="0" w:type="auto"/>
            <w:tcBorders>
              <w:top w:val="nil"/>
              <w:left w:val="nil"/>
              <w:bottom w:val="nil"/>
              <w:right w:val="nil"/>
            </w:tcBorders>
            <w:tcMar>
              <w:top w:w="150" w:type="dxa"/>
              <w:left w:w="150" w:type="dxa"/>
              <w:bottom w:w="135" w:type="dxa"/>
              <w:right w:w="150" w:type="dxa"/>
            </w:tcMar>
            <w:hideMark/>
          </w:tcPr>
          <w:p w14:paraId="4EB8D8A8" w14:textId="77777777" w:rsidR="00B51D2B" w:rsidRDefault="00B51D2B">
            <w:pPr>
              <w:rPr>
                <w:color w:val="000000"/>
              </w:rPr>
            </w:pPr>
            <w:r>
              <w:rPr>
                <w:color w:val="000000"/>
              </w:rPr>
              <w:t>300</w:t>
            </w:r>
          </w:p>
        </w:tc>
        <w:tc>
          <w:tcPr>
            <w:tcW w:w="0" w:type="auto"/>
            <w:tcBorders>
              <w:top w:val="nil"/>
              <w:left w:val="nil"/>
              <w:bottom w:val="nil"/>
              <w:right w:val="nil"/>
            </w:tcBorders>
            <w:tcMar>
              <w:top w:w="150" w:type="dxa"/>
              <w:left w:w="150" w:type="dxa"/>
              <w:bottom w:w="135" w:type="dxa"/>
              <w:right w:w="225" w:type="dxa"/>
            </w:tcMar>
            <w:hideMark/>
          </w:tcPr>
          <w:p w14:paraId="245C7F66" w14:textId="77777777" w:rsidR="00B51D2B" w:rsidRDefault="00B51D2B">
            <w:pPr>
              <w:rPr>
                <w:color w:val="000000"/>
              </w:rPr>
            </w:pPr>
            <w:r>
              <w:rPr>
                <w:color w:val="000000"/>
              </w:rPr>
              <w:t>350</w:t>
            </w:r>
          </w:p>
        </w:tc>
      </w:tr>
      <w:tr w:rsidR="00B51D2B" w14:paraId="7127F4F0" w14:textId="77777777" w:rsidTr="00B51D2B">
        <w:tc>
          <w:tcPr>
            <w:tcW w:w="0" w:type="auto"/>
            <w:tcBorders>
              <w:top w:val="nil"/>
              <w:left w:val="nil"/>
              <w:bottom w:val="nil"/>
              <w:right w:val="nil"/>
            </w:tcBorders>
            <w:tcMar>
              <w:top w:w="150" w:type="dxa"/>
              <w:left w:w="225" w:type="dxa"/>
              <w:bottom w:w="135" w:type="dxa"/>
              <w:right w:w="150" w:type="dxa"/>
            </w:tcMar>
            <w:hideMark/>
          </w:tcPr>
          <w:p w14:paraId="336CB233"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6BFD1F5F"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68A97F56"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150" w:type="dxa"/>
            </w:tcMar>
            <w:hideMark/>
          </w:tcPr>
          <w:p w14:paraId="498701F3" w14:textId="77777777" w:rsidR="00B51D2B" w:rsidRDefault="00B51D2B">
            <w:pPr>
              <w:rPr>
                <w:color w:val="000000"/>
              </w:rPr>
            </w:pPr>
            <w:r>
              <w:rPr>
                <w:color w:val="000000"/>
              </w:rPr>
              <w:t> </w:t>
            </w:r>
          </w:p>
        </w:tc>
        <w:tc>
          <w:tcPr>
            <w:tcW w:w="0" w:type="auto"/>
            <w:tcBorders>
              <w:top w:val="nil"/>
              <w:left w:val="nil"/>
              <w:bottom w:val="nil"/>
              <w:right w:val="nil"/>
            </w:tcBorders>
            <w:tcMar>
              <w:top w:w="150" w:type="dxa"/>
              <w:left w:w="150" w:type="dxa"/>
              <w:bottom w:w="135" w:type="dxa"/>
              <w:right w:w="225" w:type="dxa"/>
            </w:tcMar>
            <w:hideMark/>
          </w:tcPr>
          <w:p w14:paraId="5B629CD8" w14:textId="77777777" w:rsidR="00B51D2B" w:rsidRDefault="00B51D2B">
            <w:pPr>
              <w:rPr>
                <w:color w:val="000000"/>
              </w:rPr>
            </w:pPr>
            <w:r>
              <w:rPr>
                <w:color w:val="000000"/>
              </w:rPr>
              <w:t> </w:t>
            </w:r>
          </w:p>
        </w:tc>
      </w:tr>
      <w:tr w:rsidR="00B51D2B" w14:paraId="6F45061E" w14:textId="77777777" w:rsidTr="00B51D2B">
        <w:tc>
          <w:tcPr>
            <w:tcW w:w="0" w:type="auto"/>
            <w:tcBorders>
              <w:top w:val="nil"/>
              <w:left w:val="nil"/>
              <w:bottom w:val="nil"/>
              <w:right w:val="nil"/>
            </w:tcBorders>
            <w:tcMar>
              <w:top w:w="150" w:type="dxa"/>
              <w:left w:w="225" w:type="dxa"/>
              <w:bottom w:w="135" w:type="dxa"/>
              <w:right w:w="150" w:type="dxa"/>
            </w:tcMar>
            <w:hideMark/>
          </w:tcPr>
          <w:p w14:paraId="24EC9FAA" w14:textId="77777777" w:rsidR="00B51D2B" w:rsidRDefault="00B51D2B">
            <w:pPr>
              <w:rPr>
                <w:color w:val="000000"/>
              </w:rPr>
            </w:pPr>
            <w:r>
              <w:rPr>
                <w:color w:val="000000"/>
              </w:rPr>
              <w:t>NPV of Project</w:t>
            </w:r>
          </w:p>
        </w:tc>
        <w:tc>
          <w:tcPr>
            <w:tcW w:w="0" w:type="auto"/>
            <w:tcBorders>
              <w:top w:val="nil"/>
              <w:left w:val="nil"/>
              <w:bottom w:val="nil"/>
              <w:right w:val="nil"/>
            </w:tcBorders>
            <w:tcMar>
              <w:top w:w="150" w:type="dxa"/>
              <w:left w:w="150" w:type="dxa"/>
              <w:bottom w:w="135" w:type="dxa"/>
              <w:right w:w="150" w:type="dxa"/>
            </w:tcMar>
            <w:hideMark/>
          </w:tcPr>
          <w:p w14:paraId="24B5F5A1" w14:textId="77777777" w:rsidR="00B51D2B" w:rsidRDefault="00B51D2B">
            <w:pPr>
              <w:rPr>
                <w:color w:val="000000"/>
              </w:rPr>
            </w:pPr>
            <w:r>
              <w:rPr>
                <w:color w:val="000000"/>
              </w:rPr>
              <w:t>150</w:t>
            </w:r>
          </w:p>
        </w:tc>
        <w:tc>
          <w:tcPr>
            <w:tcW w:w="0" w:type="auto"/>
            <w:tcBorders>
              <w:top w:val="nil"/>
              <w:left w:val="nil"/>
              <w:bottom w:val="nil"/>
              <w:right w:val="nil"/>
            </w:tcBorders>
            <w:tcMar>
              <w:top w:w="150" w:type="dxa"/>
              <w:left w:w="150" w:type="dxa"/>
              <w:bottom w:w="135" w:type="dxa"/>
              <w:right w:w="150" w:type="dxa"/>
            </w:tcMar>
            <w:hideMark/>
          </w:tcPr>
          <w:p w14:paraId="739CF628" w14:textId="77777777" w:rsidR="00B51D2B" w:rsidRDefault="00B51D2B">
            <w:pPr>
              <w:rPr>
                <w:color w:val="000000"/>
              </w:rPr>
            </w:pPr>
            <w:r>
              <w:rPr>
                <w:color w:val="000000"/>
              </w:rPr>
              <w:t>120</w:t>
            </w:r>
          </w:p>
        </w:tc>
        <w:tc>
          <w:tcPr>
            <w:tcW w:w="0" w:type="auto"/>
            <w:tcBorders>
              <w:top w:val="nil"/>
              <w:left w:val="nil"/>
              <w:bottom w:val="nil"/>
              <w:right w:val="nil"/>
            </w:tcBorders>
            <w:tcMar>
              <w:top w:w="150" w:type="dxa"/>
              <w:left w:w="150" w:type="dxa"/>
              <w:bottom w:w="135" w:type="dxa"/>
              <w:right w:w="150" w:type="dxa"/>
            </w:tcMar>
            <w:hideMark/>
          </w:tcPr>
          <w:p w14:paraId="679C401C" w14:textId="77777777" w:rsidR="00B51D2B" w:rsidRDefault="00B51D2B">
            <w:pPr>
              <w:rPr>
                <w:color w:val="000000"/>
              </w:rPr>
            </w:pPr>
            <w:r>
              <w:rPr>
                <w:color w:val="000000"/>
              </w:rPr>
              <w:t>140</w:t>
            </w:r>
          </w:p>
        </w:tc>
        <w:tc>
          <w:tcPr>
            <w:tcW w:w="0" w:type="auto"/>
            <w:tcBorders>
              <w:top w:val="nil"/>
              <w:left w:val="nil"/>
              <w:bottom w:val="nil"/>
              <w:right w:val="nil"/>
            </w:tcBorders>
            <w:tcMar>
              <w:top w:w="150" w:type="dxa"/>
              <w:left w:w="150" w:type="dxa"/>
              <w:bottom w:w="135" w:type="dxa"/>
              <w:right w:w="225" w:type="dxa"/>
            </w:tcMar>
            <w:hideMark/>
          </w:tcPr>
          <w:p w14:paraId="70545B72" w14:textId="77777777" w:rsidR="00B51D2B" w:rsidRDefault="00B51D2B">
            <w:pPr>
              <w:rPr>
                <w:color w:val="000000"/>
              </w:rPr>
            </w:pPr>
            <w:r>
              <w:rPr>
                <w:color w:val="000000"/>
              </w:rPr>
              <w:t>110</w:t>
            </w:r>
          </w:p>
        </w:tc>
      </w:tr>
    </w:tbl>
    <w:p w14:paraId="4608A7B5"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The subsidiary has been restricted by the Board to the following capital expenditure budgets:</w:t>
      </w:r>
    </w:p>
    <w:p w14:paraId="55169981"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Year 0 (£’000)             £800</w:t>
      </w:r>
    </w:p>
    <w:p w14:paraId="5F0BC007"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Year 1 (£’000)             £900</w:t>
      </w:r>
    </w:p>
    <w:p w14:paraId="60D2C866"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Year 2 (£’000)             £700</w:t>
      </w:r>
    </w:p>
    <w:p w14:paraId="115ED490"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color w:val="000000"/>
          <w:sz w:val="21"/>
          <w:szCs w:val="21"/>
        </w:rPr>
        <w:t>All projects are indivisible.</w:t>
      </w:r>
    </w:p>
    <w:p w14:paraId="68E30131" w14:textId="7E0D542D" w:rsidR="00B51D2B" w:rsidRDefault="00B51D2B">
      <w:pPr>
        <w:rPr>
          <w:rFonts w:ascii="Times New Roman" w:hAnsi="Times New Roman" w:cs="Times New Roman"/>
        </w:rPr>
      </w:pPr>
      <w:r>
        <w:rPr>
          <w:rFonts w:ascii="Times New Roman" w:hAnsi="Times New Roman" w:cs="Times New Roman"/>
        </w:rPr>
        <w:br w:type="page"/>
      </w:r>
    </w:p>
    <w:p w14:paraId="5C4EAA0B" w14:textId="77777777" w:rsidR="00B51D2B" w:rsidRDefault="00B51D2B" w:rsidP="00B51D2B">
      <w:pPr>
        <w:pStyle w:val="Heading1"/>
        <w:spacing w:before="0" w:beforeAutospacing="0" w:after="150" w:afterAutospacing="0"/>
        <w:rPr>
          <w:rFonts w:ascii="inherit" w:hAnsi="inherit" w:cs="Arial"/>
          <w:color w:val="002158"/>
          <w:sz w:val="31"/>
          <w:szCs w:val="31"/>
        </w:rPr>
      </w:pPr>
      <w:r>
        <w:rPr>
          <w:rFonts w:ascii="inherit" w:hAnsi="inherit" w:cs="Arial"/>
          <w:color w:val="002158"/>
          <w:sz w:val="31"/>
          <w:szCs w:val="31"/>
        </w:rPr>
        <w:lastRenderedPageBreak/>
        <w:t>Appendix 12: Case Study Terminology</w:t>
      </w:r>
    </w:p>
    <w:p w14:paraId="50DE5098"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C-Suite:</w:t>
      </w:r>
      <w:r>
        <w:rPr>
          <w:rStyle w:val="apple-converted-space"/>
          <w:rFonts w:ascii="Arial" w:hAnsi="Arial" w:cs="Arial"/>
          <w:color w:val="000000"/>
          <w:sz w:val="21"/>
          <w:szCs w:val="21"/>
        </w:rPr>
        <w:t> </w:t>
      </w:r>
      <w:r>
        <w:rPr>
          <w:rFonts w:ascii="Arial" w:hAnsi="Arial" w:cs="Arial"/>
          <w:color w:val="000000"/>
          <w:sz w:val="21"/>
          <w:szCs w:val="21"/>
        </w:rPr>
        <w:t>A term used to describe the senior management team within an organisation.</w:t>
      </w:r>
    </w:p>
    <w:p w14:paraId="7BC6C6EF"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Debt service cover ratio (DSCR):</w:t>
      </w:r>
      <w:r>
        <w:rPr>
          <w:rStyle w:val="apple-converted-space"/>
          <w:rFonts w:ascii="Arial" w:hAnsi="Arial" w:cs="Arial"/>
          <w:color w:val="000000"/>
          <w:sz w:val="21"/>
          <w:szCs w:val="21"/>
        </w:rPr>
        <w:t> </w:t>
      </w:r>
      <w:r>
        <w:rPr>
          <w:rFonts w:ascii="Arial" w:hAnsi="Arial" w:cs="Arial"/>
          <w:color w:val="000000"/>
          <w:sz w:val="21"/>
          <w:szCs w:val="21"/>
        </w:rPr>
        <w:t>A ratio used by lenders which sets the minimum level the annual operating cash flows must exceed the annual debt service payments. Debt service payments include interest and capital repayments.</w:t>
      </w:r>
    </w:p>
    <w:p w14:paraId="13CAB85C"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Tender:</w:t>
      </w:r>
      <w:r>
        <w:rPr>
          <w:rStyle w:val="apple-converted-space"/>
          <w:rFonts w:ascii="Arial" w:hAnsi="Arial" w:cs="Arial"/>
          <w:color w:val="000000"/>
          <w:sz w:val="21"/>
          <w:szCs w:val="21"/>
        </w:rPr>
        <w:t> </w:t>
      </w:r>
      <w:r>
        <w:rPr>
          <w:rFonts w:ascii="Arial" w:hAnsi="Arial" w:cs="Arial"/>
          <w:color w:val="000000"/>
          <w:sz w:val="21"/>
          <w:szCs w:val="21"/>
        </w:rPr>
        <w:t>A process of going to market to procure goods/services in a manner where the buying entity will provide a specification of requirements and invite market participants to bid for the work.</w:t>
      </w:r>
    </w:p>
    <w:p w14:paraId="630F6CDF"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Load factor:</w:t>
      </w:r>
      <w:r>
        <w:rPr>
          <w:rStyle w:val="apple-converted-space"/>
          <w:rFonts w:ascii="Arial" w:hAnsi="Arial" w:cs="Arial"/>
          <w:color w:val="000000"/>
          <w:sz w:val="21"/>
          <w:szCs w:val="21"/>
        </w:rPr>
        <w:t> </w:t>
      </w:r>
      <w:r>
        <w:rPr>
          <w:rFonts w:ascii="Arial" w:hAnsi="Arial" w:cs="Arial"/>
          <w:color w:val="000000"/>
          <w:sz w:val="21"/>
          <w:szCs w:val="21"/>
        </w:rPr>
        <w:t>The number of passengers/tickets sold, divided by the passenger seats available on the vehicle.</w:t>
      </w:r>
    </w:p>
    <w:p w14:paraId="61D0A3D7"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STEAM:</w:t>
      </w:r>
      <w:r>
        <w:rPr>
          <w:rStyle w:val="apple-converted-space"/>
          <w:rFonts w:ascii="Arial" w:hAnsi="Arial" w:cs="Arial"/>
          <w:color w:val="000000"/>
          <w:sz w:val="21"/>
          <w:szCs w:val="21"/>
        </w:rPr>
        <w:t> </w:t>
      </w:r>
      <w:r>
        <w:rPr>
          <w:rFonts w:ascii="Arial" w:hAnsi="Arial" w:cs="Arial"/>
          <w:color w:val="000000"/>
          <w:sz w:val="21"/>
          <w:szCs w:val="21"/>
        </w:rPr>
        <w:t>Toys that provide a learning experience for the toy user in the areas of science, technology, engineering, the arts, and mathematics.</w:t>
      </w:r>
    </w:p>
    <w:p w14:paraId="1C2A6079"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Transnational Company:</w:t>
      </w:r>
      <w:r>
        <w:rPr>
          <w:rStyle w:val="apple-converted-space"/>
          <w:rFonts w:ascii="Arial" w:hAnsi="Arial" w:cs="Arial"/>
          <w:color w:val="000000"/>
          <w:sz w:val="21"/>
          <w:szCs w:val="21"/>
        </w:rPr>
        <w:t> </w:t>
      </w:r>
      <w:r>
        <w:rPr>
          <w:rFonts w:ascii="Arial" w:hAnsi="Arial" w:cs="Arial"/>
          <w:color w:val="000000"/>
          <w:sz w:val="21"/>
          <w:szCs w:val="21"/>
        </w:rPr>
        <w:t>A company that operates and is registered in several countries at a time, usually organised through wholly or partially owned subsidiary companies that report back to headquarters (the parent).</w:t>
      </w:r>
    </w:p>
    <w:p w14:paraId="20C3D4FB"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Distributor Model:</w:t>
      </w:r>
      <w:r>
        <w:rPr>
          <w:rStyle w:val="apple-converted-space"/>
          <w:rFonts w:ascii="Arial" w:hAnsi="Arial" w:cs="Arial"/>
          <w:color w:val="000000"/>
          <w:sz w:val="21"/>
          <w:szCs w:val="21"/>
        </w:rPr>
        <w:t> </w:t>
      </w:r>
      <w:r>
        <w:rPr>
          <w:rFonts w:ascii="Arial" w:hAnsi="Arial" w:cs="Arial"/>
          <w:color w:val="000000"/>
          <w:sz w:val="21"/>
          <w:szCs w:val="21"/>
        </w:rPr>
        <w:t>An approach to selling your product through intermediaries, by using a distribution channel which may include 1) producer/manufacturer 2) wholesaler 3) retailer.</w:t>
      </w:r>
    </w:p>
    <w:p w14:paraId="13CE5E8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HS Code:</w:t>
      </w:r>
      <w:r>
        <w:rPr>
          <w:rStyle w:val="apple-converted-space"/>
          <w:rFonts w:ascii="Arial" w:hAnsi="Arial" w:cs="Arial"/>
          <w:color w:val="000000"/>
          <w:sz w:val="21"/>
          <w:szCs w:val="21"/>
        </w:rPr>
        <w:t> </w:t>
      </w:r>
      <w:r>
        <w:rPr>
          <w:rFonts w:ascii="Arial" w:hAnsi="Arial" w:cs="Arial"/>
          <w:color w:val="000000"/>
          <w:sz w:val="21"/>
          <w:szCs w:val="21"/>
        </w:rPr>
        <w:t>An internationally recognised harmonised system of tariff codes for traded products.</w:t>
      </w:r>
    </w:p>
    <w:p w14:paraId="6F0E17FE"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BPS:</w:t>
      </w:r>
      <w:r>
        <w:rPr>
          <w:rStyle w:val="apple-converted-space"/>
          <w:rFonts w:ascii="Arial" w:hAnsi="Arial" w:cs="Arial"/>
          <w:color w:val="000000"/>
          <w:sz w:val="21"/>
          <w:szCs w:val="21"/>
        </w:rPr>
        <w:t> </w:t>
      </w:r>
      <w:r>
        <w:rPr>
          <w:rFonts w:ascii="Arial" w:hAnsi="Arial" w:cs="Arial"/>
          <w:color w:val="000000"/>
          <w:sz w:val="21"/>
          <w:szCs w:val="21"/>
        </w:rPr>
        <w:t xml:space="preserve">Refers to basis points. For </w:t>
      </w:r>
      <w:proofErr w:type="gramStart"/>
      <w:r>
        <w:rPr>
          <w:rFonts w:ascii="Arial" w:hAnsi="Arial" w:cs="Arial"/>
          <w:color w:val="000000"/>
          <w:sz w:val="21"/>
          <w:szCs w:val="21"/>
        </w:rPr>
        <w:t>example</w:t>
      </w:r>
      <w:proofErr w:type="gramEnd"/>
      <w:r>
        <w:rPr>
          <w:rFonts w:ascii="Arial" w:hAnsi="Arial" w:cs="Arial"/>
          <w:color w:val="000000"/>
          <w:sz w:val="21"/>
          <w:szCs w:val="21"/>
        </w:rPr>
        <w:t xml:space="preserve"> a 1% interest rate would equate to 100 bps/ basis points.</w:t>
      </w:r>
      <w:r>
        <w:rPr>
          <w:rStyle w:val="apple-converted-space"/>
          <w:rFonts w:ascii="Arial" w:hAnsi="Arial" w:cs="Arial"/>
          <w:color w:val="000000"/>
          <w:sz w:val="21"/>
          <w:szCs w:val="21"/>
        </w:rPr>
        <w:t> </w:t>
      </w:r>
    </w:p>
    <w:p w14:paraId="0ABB6423" w14:textId="77777777" w:rsidR="00B51D2B" w:rsidRDefault="00B51D2B" w:rsidP="00B51D2B">
      <w:pPr>
        <w:pStyle w:val="NormalWeb"/>
        <w:spacing w:before="75" w:beforeAutospacing="0" w:after="225" w:afterAutospacing="0"/>
        <w:rPr>
          <w:rFonts w:ascii="Arial" w:hAnsi="Arial" w:cs="Arial"/>
          <w:color w:val="000000"/>
          <w:sz w:val="21"/>
          <w:szCs w:val="21"/>
        </w:rPr>
      </w:pPr>
      <w:r>
        <w:rPr>
          <w:rFonts w:ascii="Arial" w:hAnsi="Arial" w:cs="Arial"/>
          <w:b/>
          <w:bCs/>
          <w:color w:val="000000"/>
          <w:sz w:val="21"/>
          <w:szCs w:val="21"/>
        </w:rPr>
        <w:t>Loan to value (LTV):</w:t>
      </w:r>
      <w:r>
        <w:rPr>
          <w:rStyle w:val="apple-converted-space"/>
          <w:rFonts w:ascii="Arial" w:hAnsi="Arial" w:cs="Arial"/>
          <w:color w:val="000000"/>
          <w:sz w:val="21"/>
          <w:szCs w:val="21"/>
        </w:rPr>
        <w:t> </w:t>
      </w:r>
      <w:r>
        <w:rPr>
          <w:rFonts w:ascii="Arial" w:hAnsi="Arial" w:cs="Arial"/>
          <w:color w:val="000000"/>
          <w:sz w:val="21"/>
          <w:szCs w:val="21"/>
        </w:rPr>
        <w:t>The ratio of the borrowed amount to the value of the related asset(s).</w:t>
      </w:r>
    </w:p>
    <w:p w14:paraId="51FD45BE" w14:textId="77777777" w:rsidR="00B51D2B" w:rsidRDefault="00B51D2B" w:rsidP="00B51D2B">
      <w:pPr>
        <w:rPr>
          <w:rFonts w:ascii="Times New Roman" w:hAnsi="Times New Roman" w:cs="Times New Roman"/>
        </w:rPr>
      </w:pPr>
    </w:p>
    <w:p w14:paraId="60634792" w14:textId="77777777" w:rsidR="00B51D2B" w:rsidRDefault="00B51D2B" w:rsidP="00B51D2B">
      <w:pPr>
        <w:rPr>
          <w:rFonts w:ascii="Times New Roman" w:hAnsi="Times New Roman" w:cs="Times New Roman"/>
        </w:rPr>
      </w:pPr>
    </w:p>
    <w:p w14:paraId="3FB97FA5" w14:textId="3BCEC3D1" w:rsidR="00B51D2B" w:rsidRDefault="00B51D2B"/>
    <w:p w14:paraId="56DEDD5F" w14:textId="6CDA4BBF" w:rsidR="00B51D2B" w:rsidRDefault="00B51D2B"/>
    <w:p w14:paraId="3D40C9A2" w14:textId="74413CD0" w:rsidR="00B51D2B" w:rsidRDefault="00B51D2B"/>
    <w:sectPr w:rsidR="00B51D2B" w:rsidSect="003F1D9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2E5530"/>
    <w:multiLevelType w:val="multilevel"/>
    <w:tmpl w:val="A022B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8E2FE5"/>
    <w:multiLevelType w:val="multilevel"/>
    <w:tmpl w:val="2C0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119AB"/>
    <w:multiLevelType w:val="multilevel"/>
    <w:tmpl w:val="E3EE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D3399"/>
    <w:multiLevelType w:val="multilevel"/>
    <w:tmpl w:val="74A2C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1C1013"/>
    <w:multiLevelType w:val="multilevel"/>
    <w:tmpl w:val="B860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F3205D"/>
    <w:multiLevelType w:val="multilevel"/>
    <w:tmpl w:val="A978E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A4C46"/>
    <w:multiLevelType w:val="multilevel"/>
    <w:tmpl w:val="A9D2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D2B"/>
    <w:rsid w:val="001C6872"/>
    <w:rsid w:val="003F1D92"/>
    <w:rsid w:val="006E6DC8"/>
    <w:rsid w:val="00B51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0964F"/>
  <w15:chartTrackingRefBased/>
  <w15:docId w15:val="{CF8EE487-B1E3-904E-A33F-1C8983AF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1D2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B51D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D2B"/>
    <w:rPr>
      <w:rFonts w:ascii="Times New Roman" w:eastAsia="Times New Roman" w:hAnsi="Times New Roman" w:cs="Times New Roman"/>
      <w:b/>
      <w:bCs/>
      <w:kern w:val="36"/>
      <w:sz w:val="48"/>
      <w:szCs w:val="48"/>
      <w:lang w:eastAsia="en-GB"/>
    </w:rPr>
  </w:style>
  <w:style w:type="paragraph" w:customStyle="1" w:styleId="oucontent-markerdirect">
    <w:name w:val="oucontent-markerdirect"/>
    <w:basedOn w:val="Normal"/>
    <w:rsid w:val="00B51D2B"/>
    <w:pPr>
      <w:spacing w:before="100" w:beforeAutospacing="1" w:after="100" w:afterAutospacing="1"/>
    </w:pPr>
    <w:rPr>
      <w:rFonts w:ascii="Times New Roman" w:eastAsia="Times New Roman" w:hAnsi="Times New Roman" w:cs="Times New Roman"/>
      <w:lang w:eastAsia="en-GB"/>
    </w:rPr>
  </w:style>
  <w:style w:type="character" w:customStyle="1" w:styleId="oucontent-listmarker">
    <w:name w:val="oucontent-listmarker"/>
    <w:basedOn w:val="DefaultParagraphFont"/>
    <w:rsid w:val="00B51D2B"/>
  </w:style>
  <w:style w:type="paragraph" w:styleId="NormalWeb">
    <w:name w:val="Normal (Web)"/>
    <w:basedOn w:val="Normal"/>
    <w:uiPriority w:val="99"/>
    <w:semiHidden/>
    <w:unhideWhenUsed/>
    <w:rsid w:val="00B51D2B"/>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B51D2B"/>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DefaultParagraphFont"/>
    <w:rsid w:val="00B51D2B"/>
  </w:style>
  <w:style w:type="character" w:styleId="Hyperlink">
    <w:name w:val="Hyperlink"/>
    <w:basedOn w:val="DefaultParagraphFont"/>
    <w:uiPriority w:val="99"/>
    <w:semiHidden/>
    <w:unhideWhenUsed/>
    <w:rsid w:val="00B51D2B"/>
    <w:rPr>
      <w:color w:val="0000FF"/>
      <w:u w:val="single"/>
    </w:rPr>
  </w:style>
  <w:style w:type="character" w:customStyle="1" w:styleId="accesshide">
    <w:name w:val="accesshide"/>
    <w:basedOn w:val="DefaultParagraphFont"/>
    <w:rsid w:val="00B5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42035">
      <w:bodyDiv w:val="1"/>
      <w:marLeft w:val="0"/>
      <w:marRight w:val="0"/>
      <w:marTop w:val="0"/>
      <w:marBottom w:val="0"/>
      <w:divBdr>
        <w:top w:val="none" w:sz="0" w:space="0" w:color="auto"/>
        <w:left w:val="none" w:sz="0" w:space="0" w:color="auto"/>
        <w:bottom w:val="none" w:sz="0" w:space="0" w:color="auto"/>
        <w:right w:val="none" w:sz="0" w:space="0" w:color="auto"/>
      </w:divBdr>
      <w:divsChild>
        <w:div w:id="1943491573">
          <w:marLeft w:val="0"/>
          <w:marRight w:val="0"/>
          <w:marTop w:val="0"/>
          <w:marBottom w:val="0"/>
          <w:divBdr>
            <w:top w:val="none" w:sz="0" w:space="0" w:color="auto"/>
            <w:left w:val="none" w:sz="0" w:space="0" w:color="auto"/>
            <w:bottom w:val="none" w:sz="0" w:space="0" w:color="auto"/>
            <w:right w:val="none" w:sz="0" w:space="0" w:color="auto"/>
          </w:divBdr>
        </w:div>
      </w:divsChild>
    </w:div>
    <w:div w:id="150949471">
      <w:bodyDiv w:val="1"/>
      <w:marLeft w:val="0"/>
      <w:marRight w:val="0"/>
      <w:marTop w:val="0"/>
      <w:marBottom w:val="0"/>
      <w:divBdr>
        <w:top w:val="none" w:sz="0" w:space="0" w:color="auto"/>
        <w:left w:val="none" w:sz="0" w:space="0" w:color="auto"/>
        <w:bottom w:val="none" w:sz="0" w:space="0" w:color="auto"/>
        <w:right w:val="none" w:sz="0" w:space="0" w:color="auto"/>
      </w:divBdr>
    </w:div>
    <w:div w:id="164326497">
      <w:bodyDiv w:val="1"/>
      <w:marLeft w:val="0"/>
      <w:marRight w:val="0"/>
      <w:marTop w:val="0"/>
      <w:marBottom w:val="0"/>
      <w:divBdr>
        <w:top w:val="none" w:sz="0" w:space="0" w:color="auto"/>
        <w:left w:val="none" w:sz="0" w:space="0" w:color="auto"/>
        <w:bottom w:val="none" w:sz="0" w:space="0" w:color="auto"/>
        <w:right w:val="none" w:sz="0" w:space="0" w:color="auto"/>
      </w:divBdr>
      <w:divsChild>
        <w:div w:id="802894888">
          <w:marLeft w:val="0"/>
          <w:marRight w:val="0"/>
          <w:marTop w:val="0"/>
          <w:marBottom w:val="0"/>
          <w:divBdr>
            <w:top w:val="none" w:sz="0" w:space="0" w:color="auto"/>
            <w:left w:val="none" w:sz="0" w:space="0" w:color="auto"/>
            <w:bottom w:val="none" w:sz="0" w:space="0" w:color="auto"/>
            <w:right w:val="none" w:sz="0" w:space="0" w:color="auto"/>
          </w:divBdr>
          <w:divsChild>
            <w:div w:id="1674916588">
              <w:marLeft w:val="0"/>
              <w:marRight w:val="0"/>
              <w:marTop w:val="300"/>
              <w:marBottom w:val="450"/>
              <w:divBdr>
                <w:top w:val="none" w:sz="0" w:space="0" w:color="auto"/>
                <w:left w:val="none" w:sz="0" w:space="0" w:color="auto"/>
                <w:bottom w:val="none" w:sz="0" w:space="0" w:color="auto"/>
                <w:right w:val="none" w:sz="0" w:space="0" w:color="auto"/>
              </w:divBdr>
              <w:divsChild>
                <w:div w:id="1431002465">
                  <w:marLeft w:val="0"/>
                  <w:marRight w:val="0"/>
                  <w:marTop w:val="0"/>
                  <w:marBottom w:val="0"/>
                  <w:divBdr>
                    <w:top w:val="single" w:sz="12" w:space="0" w:color="BFE2EF"/>
                    <w:left w:val="none" w:sz="0" w:space="0" w:color="auto"/>
                    <w:bottom w:val="single" w:sz="12" w:space="11" w:color="BFE2EF"/>
                    <w:right w:val="none" w:sz="0" w:space="0" w:color="auto"/>
                  </w:divBdr>
                  <w:divsChild>
                    <w:div w:id="89084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5032">
      <w:bodyDiv w:val="1"/>
      <w:marLeft w:val="0"/>
      <w:marRight w:val="0"/>
      <w:marTop w:val="0"/>
      <w:marBottom w:val="0"/>
      <w:divBdr>
        <w:top w:val="none" w:sz="0" w:space="0" w:color="auto"/>
        <w:left w:val="none" w:sz="0" w:space="0" w:color="auto"/>
        <w:bottom w:val="none" w:sz="0" w:space="0" w:color="auto"/>
        <w:right w:val="none" w:sz="0" w:space="0" w:color="auto"/>
      </w:divBdr>
      <w:divsChild>
        <w:div w:id="781145021">
          <w:marLeft w:val="0"/>
          <w:marRight w:val="0"/>
          <w:marTop w:val="0"/>
          <w:marBottom w:val="0"/>
          <w:divBdr>
            <w:top w:val="none" w:sz="0" w:space="0" w:color="auto"/>
            <w:left w:val="none" w:sz="0" w:space="0" w:color="auto"/>
            <w:bottom w:val="none" w:sz="0" w:space="0" w:color="auto"/>
            <w:right w:val="none" w:sz="0" w:space="0" w:color="auto"/>
          </w:divBdr>
        </w:div>
      </w:divsChild>
    </w:div>
    <w:div w:id="504903550">
      <w:bodyDiv w:val="1"/>
      <w:marLeft w:val="0"/>
      <w:marRight w:val="0"/>
      <w:marTop w:val="0"/>
      <w:marBottom w:val="0"/>
      <w:divBdr>
        <w:top w:val="none" w:sz="0" w:space="0" w:color="auto"/>
        <w:left w:val="none" w:sz="0" w:space="0" w:color="auto"/>
        <w:bottom w:val="none" w:sz="0" w:space="0" w:color="auto"/>
        <w:right w:val="none" w:sz="0" w:space="0" w:color="auto"/>
      </w:divBdr>
    </w:div>
    <w:div w:id="920018812">
      <w:bodyDiv w:val="1"/>
      <w:marLeft w:val="0"/>
      <w:marRight w:val="0"/>
      <w:marTop w:val="0"/>
      <w:marBottom w:val="0"/>
      <w:divBdr>
        <w:top w:val="none" w:sz="0" w:space="0" w:color="auto"/>
        <w:left w:val="none" w:sz="0" w:space="0" w:color="auto"/>
        <w:bottom w:val="none" w:sz="0" w:space="0" w:color="auto"/>
        <w:right w:val="none" w:sz="0" w:space="0" w:color="auto"/>
      </w:divBdr>
      <w:divsChild>
        <w:div w:id="353311043">
          <w:marLeft w:val="0"/>
          <w:marRight w:val="0"/>
          <w:marTop w:val="300"/>
          <w:marBottom w:val="450"/>
          <w:divBdr>
            <w:top w:val="none" w:sz="0" w:space="0" w:color="auto"/>
            <w:left w:val="none" w:sz="0" w:space="0" w:color="auto"/>
            <w:bottom w:val="none" w:sz="0" w:space="0" w:color="auto"/>
            <w:right w:val="none" w:sz="0" w:space="0" w:color="auto"/>
          </w:divBdr>
          <w:divsChild>
            <w:div w:id="475071692">
              <w:marLeft w:val="0"/>
              <w:marRight w:val="0"/>
              <w:marTop w:val="0"/>
              <w:marBottom w:val="0"/>
              <w:divBdr>
                <w:top w:val="single" w:sz="12" w:space="0" w:color="BFE2EF"/>
                <w:left w:val="none" w:sz="0" w:space="0" w:color="auto"/>
                <w:bottom w:val="single" w:sz="12" w:space="11" w:color="BFE2EF"/>
                <w:right w:val="none" w:sz="0" w:space="0" w:color="auto"/>
              </w:divBdr>
              <w:divsChild>
                <w:div w:id="67483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50176">
      <w:bodyDiv w:val="1"/>
      <w:marLeft w:val="0"/>
      <w:marRight w:val="0"/>
      <w:marTop w:val="0"/>
      <w:marBottom w:val="0"/>
      <w:divBdr>
        <w:top w:val="none" w:sz="0" w:space="0" w:color="auto"/>
        <w:left w:val="none" w:sz="0" w:space="0" w:color="auto"/>
        <w:bottom w:val="none" w:sz="0" w:space="0" w:color="auto"/>
        <w:right w:val="none" w:sz="0" w:space="0" w:color="auto"/>
      </w:divBdr>
      <w:divsChild>
        <w:div w:id="434833950">
          <w:marLeft w:val="0"/>
          <w:marRight w:val="0"/>
          <w:marTop w:val="0"/>
          <w:marBottom w:val="0"/>
          <w:divBdr>
            <w:top w:val="none" w:sz="0" w:space="0" w:color="auto"/>
            <w:left w:val="none" w:sz="0" w:space="0" w:color="auto"/>
            <w:bottom w:val="none" w:sz="0" w:space="0" w:color="auto"/>
            <w:right w:val="none" w:sz="0" w:space="0" w:color="auto"/>
          </w:divBdr>
          <w:divsChild>
            <w:div w:id="491413731">
              <w:marLeft w:val="0"/>
              <w:marRight w:val="0"/>
              <w:marTop w:val="300"/>
              <w:marBottom w:val="450"/>
              <w:divBdr>
                <w:top w:val="none" w:sz="0" w:space="0" w:color="auto"/>
                <w:left w:val="none" w:sz="0" w:space="0" w:color="auto"/>
                <w:bottom w:val="none" w:sz="0" w:space="0" w:color="auto"/>
                <w:right w:val="none" w:sz="0" w:space="0" w:color="auto"/>
              </w:divBdr>
              <w:divsChild>
                <w:div w:id="1144396606">
                  <w:marLeft w:val="0"/>
                  <w:marRight w:val="0"/>
                  <w:marTop w:val="0"/>
                  <w:marBottom w:val="0"/>
                  <w:divBdr>
                    <w:top w:val="single" w:sz="12" w:space="0" w:color="BFE2EF"/>
                    <w:left w:val="none" w:sz="0" w:space="0" w:color="auto"/>
                    <w:bottom w:val="single" w:sz="12" w:space="11" w:color="BFE2EF"/>
                    <w:right w:val="none" w:sz="0" w:space="0" w:color="auto"/>
                  </w:divBdr>
                  <w:divsChild>
                    <w:div w:id="90584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373057">
      <w:bodyDiv w:val="1"/>
      <w:marLeft w:val="0"/>
      <w:marRight w:val="0"/>
      <w:marTop w:val="0"/>
      <w:marBottom w:val="0"/>
      <w:divBdr>
        <w:top w:val="none" w:sz="0" w:space="0" w:color="auto"/>
        <w:left w:val="none" w:sz="0" w:space="0" w:color="auto"/>
        <w:bottom w:val="none" w:sz="0" w:space="0" w:color="auto"/>
        <w:right w:val="none" w:sz="0" w:space="0" w:color="auto"/>
      </w:divBdr>
    </w:div>
    <w:div w:id="1041324149">
      <w:bodyDiv w:val="1"/>
      <w:marLeft w:val="0"/>
      <w:marRight w:val="0"/>
      <w:marTop w:val="0"/>
      <w:marBottom w:val="0"/>
      <w:divBdr>
        <w:top w:val="none" w:sz="0" w:space="0" w:color="auto"/>
        <w:left w:val="none" w:sz="0" w:space="0" w:color="auto"/>
        <w:bottom w:val="none" w:sz="0" w:space="0" w:color="auto"/>
        <w:right w:val="none" w:sz="0" w:space="0" w:color="auto"/>
      </w:divBdr>
      <w:divsChild>
        <w:div w:id="1081681010">
          <w:marLeft w:val="0"/>
          <w:marRight w:val="0"/>
          <w:marTop w:val="0"/>
          <w:marBottom w:val="0"/>
          <w:divBdr>
            <w:top w:val="none" w:sz="0" w:space="0" w:color="auto"/>
            <w:left w:val="none" w:sz="0" w:space="0" w:color="auto"/>
            <w:bottom w:val="none" w:sz="0" w:space="0" w:color="auto"/>
            <w:right w:val="none" w:sz="0" w:space="0" w:color="auto"/>
          </w:divBdr>
          <w:divsChild>
            <w:div w:id="67309017">
              <w:marLeft w:val="0"/>
              <w:marRight w:val="0"/>
              <w:marTop w:val="300"/>
              <w:marBottom w:val="450"/>
              <w:divBdr>
                <w:top w:val="none" w:sz="0" w:space="0" w:color="auto"/>
                <w:left w:val="none" w:sz="0" w:space="0" w:color="auto"/>
                <w:bottom w:val="none" w:sz="0" w:space="0" w:color="auto"/>
                <w:right w:val="none" w:sz="0" w:space="0" w:color="auto"/>
              </w:divBdr>
              <w:divsChild>
                <w:div w:id="1163088151">
                  <w:marLeft w:val="0"/>
                  <w:marRight w:val="0"/>
                  <w:marTop w:val="0"/>
                  <w:marBottom w:val="0"/>
                  <w:divBdr>
                    <w:top w:val="single" w:sz="12" w:space="0" w:color="BFE2EF"/>
                    <w:left w:val="none" w:sz="0" w:space="0" w:color="auto"/>
                    <w:bottom w:val="single" w:sz="12" w:space="11" w:color="BFE2EF"/>
                    <w:right w:val="none" w:sz="0" w:space="0" w:color="auto"/>
                  </w:divBdr>
                  <w:divsChild>
                    <w:div w:id="91894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06973">
      <w:bodyDiv w:val="1"/>
      <w:marLeft w:val="0"/>
      <w:marRight w:val="0"/>
      <w:marTop w:val="0"/>
      <w:marBottom w:val="0"/>
      <w:divBdr>
        <w:top w:val="none" w:sz="0" w:space="0" w:color="auto"/>
        <w:left w:val="none" w:sz="0" w:space="0" w:color="auto"/>
        <w:bottom w:val="none" w:sz="0" w:space="0" w:color="auto"/>
        <w:right w:val="none" w:sz="0" w:space="0" w:color="auto"/>
      </w:divBdr>
    </w:div>
    <w:div w:id="1356274070">
      <w:bodyDiv w:val="1"/>
      <w:marLeft w:val="0"/>
      <w:marRight w:val="0"/>
      <w:marTop w:val="0"/>
      <w:marBottom w:val="0"/>
      <w:divBdr>
        <w:top w:val="none" w:sz="0" w:space="0" w:color="auto"/>
        <w:left w:val="none" w:sz="0" w:space="0" w:color="auto"/>
        <w:bottom w:val="none" w:sz="0" w:space="0" w:color="auto"/>
        <w:right w:val="none" w:sz="0" w:space="0" w:color="auto"/>
      </w:divBdr>
    </w:div>
    <w:div w:id="1489397770">
      <w:bodyDiv w:val="1"/>
      <w:marLeft w:val="0"/>
      <w:marRight w:val="0"/>
      <w:marTop w:val="0"/>
      <w:marBottom w:val="0"/>
      <w:divBdr>
        <w:top w:val="none" w:sz="0" w:space="0" w:color="auto"/>
        <w:left w:val="none" w:sz="0" w:space="0" w:color="auto"/>
        <w:bottom w:val="none" w:sz="0" w:space="0" w:color="auto"/>
        <w:right w:val="none" w:sz="0" w:space="0" w:color="auto"/>
      </w:divBdr>
      <w:divsChild>
        <w:div w:id="187498498">
          <w:marLeft w:val="0"/>
          <w:marRight w:val="0"/>
          <w:marTop w:val="0"/>
          <w:marBottom w:val="0"/>
          <w:divBdr>
            <w:top w:val="none" w:sz="0" w:space="0" w:color="auto"/>
            <w:left w:val="none" w:sz="0" w:space="0" w:color="auto"/>
            <w:bottom w:val="none" w:sz="0" w:space="0" w:color="auto"/>
            <w:right w:val="none" w:sz="0" w:space="0" w:color="auto"/>
          </w:divBdr>
        </w:div>
      </w:divsChild>
    </w:div>
    <w:div w:id="1538198845">
      <w:bodyDiv w:val="1"/>
      <w:marLeft w:val="0"/>
      <w:marRight w:val="0"/>
      <w:marTop w:val="0"/>
      <w:marBottom w:val="0"/>
      <w:divBdr>
        <w:top w:val="none" w:sz="0" w:space="0" w:color="auto"/>
        <w:left w:val="none" w:sz="0" w:space="0" w:color="auto"/>
        <w:bottom w:val="none" w:sz="0" w:space="0" w:color="auto"/>
        <w:right w:val="none" w:sz="0" w:space="0" w:color="auto"/>
      </w:divBdr>
    </w:div>
    <w:div w:id="1562516296">
      <w:bodyDiv w:val="1"/>
      <w:marLeft w:val="0"/>
      <w:marRight w:val="0"/>
      <w:marTop w:val="0"/>
      <w:marBottom w:val="0"/>
      <w:divBdr>
        <w:top w:val="none" w:sz="0" w:space="0" w:color="auto"/>
        <w:left w:val="none" w:sz="0" w:space="0" w:color="auto"/>
        <w:bottom w:val="none" w:sz="0" w:space="0" w:color="auto"/>
        <w:right w:val="none" w:sz="0" w:space="0" w:color="auto"/>
      </w:divBdr>
      <w:divsChild>
        <w:div w:id="726295421">
          <w:marLeft w:val="0"/>
          <w:marRight w:val="0"/>
          <w:marTop w:val="0"/>
          <w:marBottom w:val="0"/>
          <w:divBdr>
            <w:top w:val="none" w:sz="0" w:space="0" w:color="auto"/>
            <w:left w:val="none" w:sz="0" w:space="0" w:color="auto"/>
            <w:bottom w:val="none" w:sz="0" w:space="0" w:color="auto"/>
            <w:right w:val="none" w:sz="0" w:space="0" w:color="auto"/>
          </w:divBdr>
        </w:div>
      </w:divsChild>
    </w:div>
    <w:div w:id="1685093374">
      <w:bodyDiv w:val="1"/>
      <w:marLeft w:val="0"/>
      <w:marRight w:val="0"/>
      <w:marTop w:val="0"/>
      <w:marBottom w:val="0"/>
      <w:divBdr>
        <w:top w:val="none" w:sz="0" w:space="0" w:color="auto"/>
        <w:left w:val="none" w:sz="0" w:space="0" w:color="auto"/>
        <w:bottom w:val="none" w:sz="0" w:space="0" w:color="auto"/>
        <w:right w:val="none" w:sz="0" w:space="0" w:color="auto"/>
      </w:divBdr>
    </w:div>
    <w:div w:id="1712419746">
      <w:bodyDiv w:val="1"/>
      <w:marLeft w:val="0"/>
      <w:marRight w:val="0"/>
      <w:marTop w:val="0"/>
      <w:marBottom w:val="0"/>
      <w:divBdr>
        <w:top w:val="none" w:sz="0" w:space="0" w:color="auto"/>
        <w:left w:val="none" w:sz="0" w:space="0" w:color="auto"/>
        <w:bottom w:val="none" w:sz="0" w:space="0" w:color="auto"/>
        <w:right w:val="none" w:sz="0" w:space="0" w:color="auto"/>
      </w:divBdr>
      <w:divsChild>
        <w:div w:id="1458377348">
          <w:marLeft w:val="0"/>
          <w:marRight w:val="0"/>
          <w:marTop w:val="0"/>
          <w:marBottom w:val="0"/>
          <w:divBdr>
            <w:top w:val="none" w:sz="0" w:space="0" w:color="auto"/>
            <w:left w:val="none" w:sz="0" w:space="0" w:color="auto"/>
            <w:bottom w:val="none" w:sz="0" w:space="0" w:color="auto"/>
            <w:right w:val="none" w:sz="0" w:space="0" w:color="auto"/>
          </w:divBdr>
          <w:divsChild>
            <w:div w:id="398409857">
              <w:marLeft w:val="0"/>
              <w:marRight w:val="0"/>
              <w:marTop w:val="300"/>
              <w:marBottom w:val="450"/>
              <w:divBdr>
                <w:top w:val="none" w:sz="0" w:space="0" w:color="auto"/>
                <w:left w:val="none" w:sz="0" w:space="0" w:color="auto"/>
                <w:bottom w:val="none" w:sz="0" w:space="0" w:color="auto"/>
                <w:right w:val="none" w:sz="0" w:space="0" w:color="auto"/>
              </w:divBdr>
              <w:divsChild>
                <w:div w:id="219903552">
                  <w:marLeft w:val="0"/>
                  <w:marRight w:val="0"/>
                  <w:marTop w:val="0"/>
                  <w:marBottom w:val="0"/>
                  <w:divBdr>
                    <w:top w:val="single" w:sz="12" w:space="0" w:color="BFE2EF"/>
                    <w:left w:val="none" w:sz="0" w:space="0" w:color="auto"/>
                    <w:bottom w:val="single" w:sz="12" w:space="11" w:color="BFE2EF"/>
                    <w:right w:val="none" w:sz="0" w:space="0" w:color="auto"/>
                  </w:divBdr>
                  <w:divsChild>
                    <w:div w:id="12517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854535">
      <w:bodyDiv w:val="1"/>
      <w:marLeft w:val="0"/>
      <w:marRight w:val="0"/>
      <w:marTop w:val="0"/>
      <w:marBottom w:val="0"/>
      <w:divBdr>
        <w:top w:val="none" w:sz="0" w:space="0" w:color="auto"/>
        <w:left w:val="none" w:sz="0" w:space="0" w:color="auto"/>
        <w:bottom w:val="none" w:sz="0" w:space="0" w:color="auto"/>
        <w:right w:val="none" w:sz="0" w:space="0" w:color="auto"/>
      </w:divBdr>
    </w:div>
    <w:div w:id="1796366567">
      <w:bodyDiv w:val="1"/>
      <w:marLeft w:val="0"/>
      <w:marRight w:val="0"/>
      <w:marTop w:val="0"/>
      <w:marBottom w:val="0"/>
      <w:divBdr>
        <w:top w:val="none" w:sz="0" w:space="0" w:color="auto"/>
        <w:left w:val="none" w:sz="0" w:space="0" w:color="auto"/>
        <w:bottom w:val="none" w:sz="0" w:space="0" w:color="auto"/>
        <w:right w:val="none" w:sz="0" w:space="0" w:color="auto"/>
      </w:divBdr>
      <w:divsChild>
        <w:div w:id="1324358077">
          <w:marLeft w:val="0"/>
          <w:marRight w:val="0"/>
          <w:marTop w:val="0"/>
          <w:marBottom w:val="0"/>
          <w:divBdr>
            <w:top w:val="none" w:sz="0" w:space="0" w:color="auto"/>
            <w:left w:val="none" w:sz="0" w:space="0" w:color="auto"/>
            <w:bottom w:val="none" w:sz="0" w:space="0" w:color="auto"/>
            <w:right w:val="none" w:sz="0" w:space="0" w:color="auto"/>
          </w:divBdr>
          <w:divsChild>
            <w:div w:id="760488841">
              <w:marLeft w:val="0"/>
              <w:marRight w:val="0"/>
              <w:marTop w:val="300"/>
              <w:marBottom w:val="450"/>
              <w:divBdr>
                <w:top w:val="none" w:sz="0" w:space="0" w:color="auto"/>
                <w:left w:val="none" w:sz="0" w:space="0" w:color="auto"/>
                <w:bottom w:val="none" w:sz="0" w:space="0" w:color="auto"/>
                <w:right w:val="none" w:sz="0" w:space="0" w:color="auto"/>
              </w:divBdr>
              <w:divsChild>
                <w:div w:id="471025677">
                  <w:marLeft w:val="0"/>
                  <w:marRight w:val="0"/>
                  <w:marTop w:val="0"/>
                  <w:marBottom w:val="0"/>
                  <w:divBdr>
                    <w:top w:val="single" w:sz="12" w:space="0" w:color="BFE2EF"/>
                    <w:left w:val="none" w:sz="0" w:space="0" w:color="auto"/>
                    <w:bottom w:val="single" w:sz="12" w:space="11" w:color="BFE2EF"/>
                    <w:right w:val="none" w:sz="0" w:space="0" w:color="auto"/>
                  </w:divBdr>
                  <w:divsChild>
                    <w:div w:id="11527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31120">
      <w:bodyDiv w:val="1"/>
      <w:marLeft w:val="0"/>
      <w:marRight w:val="0"/>
      <w:marTop w:val="0"/>
      <w:marBottom w:val="0"/>
      <w:divBdr>
        <w:top w:val="none" w:sz="0" w:space="0" w:color="auto"/>
        <w:left w:val="none" w:sz="0" w:space="0" w:color="auto"/>
        <w:bottom w:val="none" w:sz="0" w:space="0" w:color="auto"/>
        <w:right w:val="none" w:sz="0" w:space="0" w:color="auto"/>
      </w:divBdr>
    </w:div>
    <w:div w:id="1887570164">
      <w:bodyDiv w:val="1"/>
      <w:marLeft w:val="0"/>
      <w:marRight w:val="0"/>
      <w:marTop w:val="0"/>
      <w:marBottom w:val="0"/>
      <w:divBdr>
        <w:top w:val="none" w:sz="0" w:space="0" w:color="auto"/>
        <w:left w:val="none" w:sz="0" w:space="0" w:color="auto"/>
        <w:bottom w:val="none" w:sz="0" w:space="0" w:color="auto"/>
        <w:right w:val="none" w:sz="0" w:space="0" w:color="auto"/>
      </w:divBdr>
    </w:div>
    <w:div w:id="1979334418">
      <w:bodyDiv w:val="1"/>
      <w:marLeft w:val="0"/>
      <w:marRight w:val="0"/>
      <w:marTop w:val="0"/>
      <w:marBottom w:val="0"/>
      <w:divBdr>
        <w:top w:val="none" w:sz="0" w:space="0" w:color="auto"/>
        <w:left w:val="none" w:sz="0" w:space="0" w:color="auto"/>
        <w:bottom w:val="none" w:sz="0" w:space="0" w:color="auto"/>
        <w:right w:val="none" w:sz="0" w:space="0" w:color="auto"/>
      </w:divBdr>
      <w:divsChild>
        <w:div w:id="1844977526">
          <w:marLeft w:val="0"/>
          <w:marRight w:val="0"/>
          <w:marTop w:val="300"/>
          <w:marBottom w:val="450"/>
          <w:divBdr>
            <w:top w:val="none" w:sz="0" w:space="0" w:color="auto"/>
            <w:left w:val="none" w:sz="0" w:space="0" w:color="auto"/>
            <w:bottom w:val="none" w:sz="0" w:space="0" w:color="auto"/>
            <w:right w:val="none" w:sz="0" w:space="0" w:color="auto"/>
          </w:divBdr>
          <w:divsChild>
            <w:div w:id="279536967">
              <w:marLeft w:val="0"/>
              <w:marRight w:val="0"/>
              <w:marTop w:val="0"/>
              <w:marBottom w:val="0"/>
              <w:divBdr>
                <w:top w:val="single" w:sz="12" w:space="0" w:color="BFE2EF"/>
                <w:left w:val="none" w:sz="0" w:space="0" w:color="auto"/>
                <w:bottom w:val="single" w:sz="12" w:space="11" w:color="BFE2EF"/>
                <w:right w:val="none" w:sz="0" w:space="0" w:color="auto"/>
              </w:divBdr>
              <w:divsChild>
                <w:div w:id="61244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301943">
      <w:bodyDiv w:val="1"/>
      <w:marLeft w:val="0"/>
      <w:marRight w:val="0"/>
      <w:marTop w:val="0"/>
      <w:marBottom w:val="0"/>
      <w:divBdr>
        <w:top w:val="none" w:sz="0" w:space="0" w:color="auto"/>
        <w:left w:val="none" w:sz="0" w:space="0" w:color="auto"/>
        <w:bottom w:val="none" w:sz="0" w:space="0" w:color="auto"/>
        <w:right w:val="none" w:sz="0" w:space="0" w:color="auto"/>
      </w:divBdr>
    </w:div>
    <w:div w:id="1989747275">
      <w:bodyDiv w:val="1"/>
      <w:marLeft w:val="0"/>
      <w:marRight w:val="0"/>
      <w:marTop w:val="0"/>
      <w:marBottom w:val="0"/>
      <w:divBdr>
        <w:top w:val="none" w:sz="0" w:space="0" w:color="auto"/>
        <w:left w:val="none" w:sz="0" w:space="0" w:color="auto"/>
        <w:bottom w:val="none" w:sz="0" w:space="0" w:color="auto"/>
        <w:right w:val="none" w:sz="0" w:space="0" w:color="auto"/>
      </w:divBdr>
    </w:div>
    <w:div w:id="203236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earn2.open.ac.uk/mod/oucontent/view.php?id=1478283&amp;section=1.6" TargetMode="External"/><Relationship Id="rId5" Type="http://schemas.openxmlformats.org/officeDocument/2006/relationships/hyperlink" Target="https://learn2.open.ac.uk/mod/oucontent/view.php?id=1478283" TargetMode="External"/><Relationship Id="rId10" Type="http://schemas.openxmlformats.org/officeDocument/2006/relationships/hyperlink" Target="https://learn2.open.ac.uk/mod/oucontent/view.php?id=1478283&amp;section=1.6"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17</Pages>
  <Words>3683</Words>
  <Characters>20996</Characters>
  <Application>Microsoft Office Word</Application>
  <DocSecurity>0</DocSecurity>
  <Lines>174</Lines>
  <Paragraphs>49</Paragraphs>
  <ScaleCrop>false</ScaleCrop>
  <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Siddiqa (Student)</dc:creator>
  <cp:keywords/>
  <dc:description/>
  <cp:lastModifiedBy>Lina Siddiqa (Student)</cp:lastModifiedBy>
  <cp:revision>2</cp:revision>
  <dcterms:created xsi:type="dcterms:W3CDTF">2020-01-18T17:29:00Z</dcterms:created>
  <dcterms:modified xsi:type="dcterms:W3CDTF">2020-09-25T13:55:00Z</dcterms:modified>
</cp:coreProperties>
</file>